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70397912" w:rsidR="004767F5" w:rsidRPr="00BC77C6" w:rsidRDefault="004767F5">
      <w:pPr>
        <w:spacing w:after="200" w:line="240" w:lineRule="auto"/>
        <w:jc w:val="right"/>
        <w:rPr>
          <w:rFonts w:cs="Calibri"/>
          <w:sz w:val="24"/>
          <w:szCs w:val="24"/>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rsidRPr="00BC77C6"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Pr="00BC77C6" w:rsidRDefault="00291592">
            <w:pPr>
              <w:spacing w:after="0" w:line="240" w:lineRule="auto"/>
              <w:jc w:val="center"/>
              <w:rPr>
                <w:rFonts w:cs="Calibri"/>
                <w:color w:val="000000"/>
                <w:sz w:val="24"/>
                <w:szCs w:val="24"/>
              </w:rPr>
            </w:pPr>
            <w:r w:rsidRPr="00BC77C6">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Pr="00BC77C6" w:rsidRDefault="00291592">
      <w:pPr>
        <w:spacing w:after="200" w:line="240" w:lineRule="auto"/>
        <w:jc w:val="both"/>
        <w:rPr>
          <w:rFonts w:cs="Calibri"/>
          <w:sz w:val="24"/>
          <w:szCs w:val="24"/>
        </w:rPr>
      </w:pPr>
      <w:r w:rsidRPr="00BC77C6">
        <w:rPr>
          <w:rFonts w:cs="Calibri"/>
          <w:sz w:val="24"/>
          <w:szCs w:val="24"/>
        </w:rPr>
        <w:t> </w:t>
      </w:r>
    </w:p>
    <w:p w14:paraId="05072340" w14:textId="77777777" w:rsidR="004767F5" w:rsidRPr="00BC77C6" w:rsidRDefault="00291592">
      <w:pPr>
        <w:spacing w:before="200" w:after="200" w:line="240" w:lineRule="auto"/>
        <w:jc w:val="both"/>
        <w:rPr>
          <w:rFonts w:cs="Calibri"/>
          <w:sz w:val="24"/>
          <w:szCs w:val="24"/>
        </w:rPr>
      </w:pPr>
      <w:r w:rsidRPr="00BC77C6">
        <w:rPr>
          <w:rFonts w:cs="Calibri"/>
          <w:sz w:val="24"/>
          <w:szCs w:val="24"/>
        </w:rPr>
        <w:t> </w:t>
      </w:r>
    </w:p>
    <w:p w14:paraId="7DDFF61C" w14:textId="77777777" w:rsidR="004767F5" w:rsidRPr="00BC77C6" w:rsidRDefault="00291592">
      <w:pPr>
        <w:spacing w:before="200" w:after="200" w:line="240" w:lineRule="auto"/>
        <w:jc w:val="both"/>
        <w:rPr>
          <w:rFonts w:cs="Calibri"/>
          <w:sz w:val="24"/>
          <w:szCs w:val="24"/>
        </w:rPr>
      </w:pPr>
      <w:r w:rsidRPr="00BC77C6">
        <w:rPr>
          <w:rFonts w:cs="Calibri"/>
          <w:sz w:val="24"/>
          <w:szCs w:val="24"/>
        </w:rPr>
        <w:t> </w:t>
      </w:r>
    </w:p>
    <w:p w14:paraId="13F1824A" w14:textId="77777777" w:rsidR="004767F5" w:rsidRPr="00BC77C6" w:rsidRDefault="00291592">
      <w:pPr>
        <w:spacing w:before="200" w:after="200" w:line="240" w:lineRule="auto"/>
        <w:jc w:val="center"/>
        <w:rPr>
          <w:rFonts w:cs="Calibri"/>
          <w:sz w:val="24"/>
          <w:szCs w:val="24"/>
        </w:rPr>
      </w:pPr>
      <w:r w:rsidRPr="00BC77C6">
        <w:rPr>
          <w:rFonts w:cs="Calibri"/>
          <w:sz w:val="24"/>
          <w:szCs w:val="24"/>
        </w:rPr>
        <w:t> </w:t>
      </w:r>
    </w:p>
    <w:p w14:paraId="33201CF0" w14:textId="77777777" w:rsidR="004767F5" w:rsidRPr="00BC77C6" w:rsidRDefault="00291592">
      <w:pPr>
        <w:spacing w:before="200" w:after="200" w:line="240" w:lineRule="auto"/>
        <w:jc w:val="both"/>
        <w:rPr>
          <w:rFonts w:cs="Calibri"/>
          <w:sz w:val="24"/>
          <w:szCs w:val="24"/>
        </w:rPr>
      </w:pPr>
      <w:r w:rsidRPr="00BC77C6">
        <w:rPr>
          <w:rFonts w:cs="Calibri"/>
          <w:sz w:val="24"/>
          <w:szCs w:val="24"/>
        </w:rPr>
        <w:t> </w:t>
      </w:r>
    </w:p>
    <w:p w14:paraId="7202E4AC" w14:textId="77777777" w:rsidR="004767F5" w:rsidRPr="00BC77C6" w:rsidRDefault="00291592">
      <w:pPr>
        <w:spacing w:before="200" w:after="200" w:line="240" w:lineRule="auto"/>
        <w:jc w:val="both"/>
        <w:rPr>
          <w:rFonts w:cs="Calibri"/>
          <w:sz w:val="24"/>
          <w:szCs w:val="24"/>
        </w:rPr>
      </w:pPr>
      <w:r w:rsidRPr="00BC77C6">
        <w:rPr>
          <w:rFonts w:cs="Calibri"/>
          <w:sz w:val="24"/>
          <w:szCs w:val="24"/>
        </w:rPr>
        <w:t> </w:t>
      </w:r>
    </w:p>
    <w:p w14:paraId="740B913E" w14:textId="77777777" w:rsidR="004767F5" w:rsidRPr="00BC77C6" w:rsidRDefault="00291592">
      <w:pPr>
        <w:spacing w:before="200" w:after="200" w:line="240" w:lineRule="auto"/>
        <w:jc w:val="both"/>
        <w:rPr>
          <w:rFonts w:cs="Calibri"/>
          <w:sz w:val="24"/>
          <w:szCs w:val="24"/>
        </w:rPr>
      </w:pPr>
      <w:r w:rsidRPr="00BC77C6">
        <w:rPr>
          <w:rFonts w:cs="Calibri"/>
          <w:sz w:val="24"/>
          <w:szCs w:val="24"/>
        </w:rPr>
        <w:t> </w:t>
      </w:r>
    </w:p>
    <w:p w14:paraId="7ACFF3FA" w14:textId="4346948F" w:rsidR="004767F5" w:rsidRPr="00BC77C6" w:rsidRDefault="00291592">
      <w:pPr>
        <w:spacing w:before="200" w:after="200" w:line="240" w:lineRule="auto"/>
        <w:rPr>
          <w:rFonts w:cs="Calibri"/>
          <w:sz w:val="24"/>
          <w:szCs w:val="24"/>
        </w:rPr>
      </w:pPr>
      <w:r w:rsidRPr="00BC77C6">
        <w:rPr>
          <w:rFonts w:cs="Calibri"/>
          <w:b/>
          <w:bCs/>
          <w:sz w:val="24"/>
          <w:szCs w:val="24"/>
        </w:rPr>
        <w:t xml:space="preserve">EXMO. SR. DR. JUIZ FEDERAL DA </w:t>
      </w:r>
      <w:r w:rsidR="00E848F1" w:rsidRPr="00BC77C6">
        <w:rPr>
          <w:rFonts w:cs="Calibri"/>
          <w:b/>
          <w:bCs/>
          <w:sz w:val="24"/>
          <w:szCs w:val="24"/>
        </w:rPr>
        <w:t>1</w:t>
      </w:r>
      <w:r w:rsidRPr="00BC77C6">
        <w:rPr>
          <w:rFonts w:cs="Calibri"/>
          <w:b/>
          <w:bCs/>
          <w:sz w:val="24"/>
          <w:szCs w:val="24"/>
        </w:rPr>
        <w:t xml:space="preserve">ª VARA FEDERAL DA SUBSEÇÃO DE </w:t>
      </w:r>
      <w:r w:rsidR="00690CB6">
        <w:rPr>
          <w:rFonts w:cs="Calibri"/>
          <w:b/>
          <w:bCs/>
          <w:sz w:val="24"/>
          <w:szCs w:val="24"/>
        </w:rPr>
        <w:t>BENTO GONÇALVES</w:t>
      </w:r>
      <w:r w:rsidRPr="00BC77C6">
        <w:rPr>
          <w:rFonts w:cs="Calibri"/>
          <w:b/>
          <w:bCs/>
          <w:sz w:val="24"/>
          <w:szCs w:val="24"/>
        </w:rPr>
        <w:t xml:space="preserve"> – SEÇÃO JUDICIÁRIA DO RIO GRANDE DO SUL</w:t>
      </w:r>
    </w:p>
    <w:p w14:paraId="16CFB2C9" w14:textId="77777777" w:rsidR="004767F5" w:rsidRPr="00BC77C6" w:rsidRDefault="00291592">
      <w:pPr>
        <w:spacing w:before="200" w:after="200" w:line="240" w:lineRule="auto"/>
        <w:jc w:val="both"/>
        <w:rPr>
          <w:rFonts w:cs="Calibri"/>
          <w:sz w:val="24"/>
          <w:szCs w:val="24"/>
        </w:rPr>
      </w:pPr>
      <w:r w:rsidRPr="00BC77C6">
        <w:rPr>
          <w:rFonts w:cs="Calibri"/>
          <w:sz w:val="24"/>
          <w:szCs w:val="24"/>
        </w:rPr>
        <w:t> </w:t>
      </w:r>
    </w:p>
    <w:p w14:paraId="390A9153" w14:textId="77777777" w:rsidR="004767F5" w:rsidRPr="00BC77C6" w:rsidRDefault="00291592">
      <w:pPr>
        <w:spacing w:before="200" w:after="200" w:line="240" w:lineRule="auto"/>
        <w:jc w:val="both"/>
        <w:rPr>
          <w:rFonts w:cs="Calibri"/>
          <w:sz w:val="24"/>
          <w:szCs w:val="24"/>
        </w:rPr>
      </w:pPr>
      <w:r w:rsidRPr="00BC77C6">
        <w:rPr>
          <w:rFonts w:cs="Calibri"/>
          <w:sz w:val="24"/>
          <w:szCs w:val="24"/>
        </w:rPr>
        <w:t> </w:t>
      </w:r>
    </w:p>
    <w:p w14:paraId="657601DB" w14:textId="77777777" w:rsidR="004767F5" w:rsidRPr="00BC77C6" w:rsidRDefault="00291592">
      <w:pPr>
        <w:spacing w:before="200" w:after="200" w:line="240" w:lineRule="auto"/>
        <w:jc w:val="both"/>
        <w:rPr>
          <w:rFonts w:cs="Calibri"/>
          <w:sz w:val="24"/>
          <w:szCs w:val="24"/>
        </w:rPr>
      </w:pPr>
      <w:r w:rsidRPr="00BC77C6">
        <w:rPr>
          <w:rFonts w:cs="Calibri"/>
          <w:sz w:val="24"/>
          <w:szCs w:val="24"/>
        </w:rPr>
        <w:t> </w:t>
      </w:r>
    </w:p>
    <w:p w14:paraId="7B320D31" w14:textId="1562C1C2" w:rsidR="004767F5" w:rsidRPr="00BC77C6" w:rsidRDefault="00291592">
      <w:pPr>
        <w:spacing w:before="200" w:after="200" w:line="240" w:lineRule="auto"/>
        <w:jc w:val="both"/>
        <w:rPr>
          <w:rFonts w:cs="Calibri"/>
          <w:sz w:val="24"/>
          <w:szCs w:val="24"/>
        </w:rPr>
      </w:pPr>
      <w:r w:rsidRPr="00BC77C6">
        <w:rPr>
          <w:rFonts w:cs="Calibri"/>
          <w:b/>
          <w:bCs/>
          <w:sz w:val="24"/>
          <w:szCs w:val="24"/>
        </w:rPr>
        <w:t xml:space="preserve">Processo: </w:t>
      </w:r>
      <w:r w:rsidR="00690CB6" w:rsidRPr="00690CB6">
        <w:rPr>
          <w:sz w:val="24"/>
          <w:szCs w:val="24"/>
        </w:rPr>
        <w:t>5002902-66.2023.4.04.7118/RS</w:t>
      </w:r>
    </w:p>
    <w:p w14:paraId="2A10DF5F" w14:textId="36D62CEF" w:rsidR="004767F5" w:rsidRPr="00BC77C6" w:rsidRDefault="00291592" w:rsidP="006B1470">
      <w:pPr>
        <w:spacing w:after="200" w:line="240" w:lineRule="auto"/>
        <w:rPr>
          <w:rFonts w:cs="Calibri"/>
          <w:sz w:val="24"/>
          <w:szCs w:val="24"/>
        </w:rPr>
      </w:pPr>
      <w:r w:rsidRPr="00BC77C6">
        <w:rPr>
          <w:rFonts w:cs="Calibri"/>
          <w:sz w:val="24"/>
          <w:szCs w:val="24"/>
        </w:rPr>
        <w:t> </w:t>
      </w:r>
    </w:p>
    <w:p w14:paraId="6455FDDA" w14:textId="77777777" w:rsidR="004767F5" w:rsidRPr="00BC77C6" w:rsidRDefault="00291592">
      <w:pPr>
        <w:spacing w:before="200" w:after="200" w:line="240" w:lineRule="auto"/>
        <w:rPr>
          <w:rFonts w:cs="Calibri"/>
          <w:sz w:val="24"/>
          <w:szCs w:val="24"/>
        </w:rPr>
      </w:pPr>
      <w:r w:rsidRPr="00BC77C6">
        <w:rPr>
          <w:rFonts w:cs="Calibri"/>
          <w:sz w:val="24"/>
          <w:szCs w:val="24"/>
        </w:rPr>
        <w:t> </w:t>
      </w:r>
    </w:p>
    <w:p w14:paraId="51F872D4" w14:textId="77777777" w:rsidR="004767F5" w:rsidRPr="00BC77C6" w:rsidRDefault="00291592">
      <w:pPr>
        <w:spacing w:before="200" w:after="200" w:line="240" w:lineRule="auto"/>
        <w:rPr>
          <w:rFonts w:cs="Calibri"/>
          <w:sz w:val="24"/>
          <w:szCs w:val="24"/>
        </w:rPr>
      </w:pPr>
      <w:r w:rsidRPr="00BC77C6">
        <w:rPr>
          <w:rFonts w:cs="Calibri"/>
          <w:sz w:val="24"/>
          <w:szCs w:val="24"/>
        </w:rPr>
        <w:t> </w:t>
      </w:r>
    </w:p>
    <w:p w14:paraId="435A18AA" w14:textId="3D20624C" w:rsidR="004767F5" w:rsidRPr="00BC77C6" w:rsidRDefault="006B1470">
      <w:pPr>
        <w:spacing w:before="200" w:after="200" w:line="240" w:lineRule="auto"/>
        <w:ind w:firstLine="1701"/>
        <w:jc w:val="both"/>
        <w:rPr>
          <w:rFonts w:cs="Calibri"/>
          <w:sz w:val="24"/>
          <w:szCs w:val="24"/>
        </w:rPr>
      </w:pPr>
      <w:r w:rsidRPr="00BC77C6">
        <w:rPr>
          <w:b/>
          <w:bCs/>
          <w:sz w:val="24"/>
          <w:szCs w:val="24"/>
        </w:rPr>
        <w:t>CAIXA ECONÔMICA FEDERAL – CEF</w:t>
      </w:r>
      <w:r w:rsidRPr="00BC77C6">
        <w:rPr>
          <w:sz w:val="24"/>
          <w:szCs w:val="24"/>
        </w:rPr>
        <w:t>, instituição financeira sob a forma de empresa pública, inscrita no CGC/MF sob n.º 00.360.305/1780-00, com sede em Brasília/DF e Escritório de Negócios neste Estado, com endereço na Rua dos Andradas, n.º 1000, em Porto Alegre/RS,</w:t>
      </w:r>
      <w:r w:rsidR="00291592" w:rsidRPr="00BC77C6">
        <w:rPr>
          <w:rFonts w:cs="Calibri"/>
          <w:sz w:val="24"/>
          <w:szCs w:val="24"/>
        </w:rPr>
        <w:t xml:space="preserve">, onde recebe citações, intimações e notificações de estilo, por seu advogado que esta subscreve, mandato incluso nos autos da </w:t>
      </w:r>
      <w:r w:rsidR="00291592" w:rsidRPr="00BC77C6">
        <w:rPr>
          <w:rFonts w:cs="Calibri"/>
          <w:b/>
          <w:bCs/>
          <w:i/>
          <w:iCs/>
          <w:sz w:val="24"/>
          <w:szCs w:val="24"/>
        </w:rPr>
        <w:t>AÇÃO DE</w:t>
      </w:r>
      <w:r w:rsidR="00AF2960" w:rsidRPr="00BC77C6">
        <w:rPr>
          <w:rFonts w:cs="Calibri"/>
          <w:b/>
          <w:bCs/>
          <w:i/>
          <w:iCs/>
          <w:sz w:val="24"/>
          <w:szCs w:val="24"/>
        </w:rPr>
        <w:t xml:space="preserve"> OBRIGAÇÃO DE FAZER E</w:t>
      </w:r>
      <w:r w:rsidR="00291592" w:rsidRPr="00BC77C6">
        <w:rPr>
          <w:rFonts w:cs="Calibri"/>
          <w:b/>
          <w:bCs/>
          <w:i/>
          <w:iCs/>
          <w:sz w:val="24"/>
          <w:szCs w:val="24"/>
        </w:rPr>
        <w:t xml:space="preserve"> </w:t>
      </w:r>
      <w:r w:rsidRPr="00BC77C6">
        <w:rPr>
          <w:rFonts w:cs="Calibri"/>
          <w:b/>
          <w:bCs/>
          <w:i/>
          <w:iCs/>
          <w:sz w:val="24"/>
          <w:szCs w:val="24"/>
        </w:rPr>
        <w:t>INDENIZAÇÃO POR DANOS MATERIAIS</w:t>
      </w:r>
      <w:r w:rsidR="00291592" w:rsidRPr="00BC77C6">
        <w:rPr>
          <w:rFonts w:cs="Calibri"/>
          <w:b/>
          <w:bCs/>
          <w:i/>
          <w:iCs/>
          <w:sz w:val="24"/>
          <w:szCs w:val="24"/>
        </w:rPr>
        <w:t xml:space="preserve">, </w:t>
      </w:r>
      <w:r w:rsidR="00291592" w:rsidRPr="00BC77C6">
        <w:rPr>
          <w:rFonts w:cs="Calibri"/>
          <w:sz w:val="24"/>
          <w:szCs w:val="24"/>
        </w:rPr>
        <w:t xml:space="preserve">que lhe promove </w:t>
      </w:r>
      <w:r w:rsidR="00690CB6" w:rsidRPr="00690CB6">
        <w:rPr>
          <w:rFonts w:cs="Calibri"/>
          <w:b/>
          <w:bCs/>
          <w:sz w:val="24"/>
          <w:szCs w:val="24"/>
        </w:rPr>
        <w:t>LEIA FERNANDA DA SILVA</w:t>
      </w:r>
      <w:r w:rsidR="00291592" w:rsidRPr="00BC77C6">
        <w:rPr>
          <w:rFonts w:cs="Calibri"/>
          <w:sz w:val="24"/>
          <w:szCs w:val="24"/>
        </w:rPr>
        <w:t xml:space="preserve">, em trâmite perante este Douto Juízo, vem, </w:t>
      </w:r>
      <w:r w:rsidR="00291592" w:rsidRPr="00BC77C6">
        <w:rPr>
          <w:rFonts w:cs="Calibri"/>
          <w:i/>
          <w:iCs/>
          <w:sz w:val="24"/>
          <w:szCs w:val="24"/>
        </w:rPr>
        <w:t>mui</w:t>
      </w:r>
      <w:r w:rsidR="00291592" w:rsidRPr="00BC77C6">
        <w:rPr>
          <w:rFonts w:cs="Calibri"/>
          <w:sz w:val="24"/>
          <w:szCs w:val="24"/>
        </w:rPr>
        <w:t xml:space="preserve"> respeitosamente, à presença de Vossa Excelência, apresentar</w:t>
      </w:r>
    </w:p>
    <w:p w14:paraId="72710FF1" w14:textId="77777777" w:rsidR="004767F5" w:rsidRPr="00BC77C6" w:rsidRDefault="00291592">
      <w:pPr>
        <w:spacing w:before="200" w:after="200" w:line="240" w:lineRule="auto"/>
        <w:jc w:val="center"/>
        <w:rPr>
          <w:rFonts w:cs="Calibri"/>
          <w:sz w:val="24"/>
          <w:szCs w:val="24"/>
        </w:rPr>
      </w:pPr>
      <w:r w:rsidRPr="00BC77C6">
        <w:rPr>
          <w:rFonts w:cs="Calibri"/>
          <w:b/>
          <w:bCs/>
          <w:sz w:val="24"/>
          <w:szCs w:val="24"/>
        </w:rPr>
        <w:t>C O N T E S T A Ç Ã O</w:t>
      </w:r>
    </w:p>
    <w:p w14:paraId="767D76C0" w14:textId="77777777" w:rsidR="004767F5" w:rsidRPr="00BC77C6" w:rsidRDefault="00291592">
      <w:pPr>
        <w:spacing w:before="200" w:after="200" w:line="240" w:lineRule="auto"/>
        <w:jc w:val="both"/>
        <w:rPr>
          <w:rFonts w:cs="Calibri"/>
          <w:sz w:val="24"/>
          <w:szCs w:val="24"/>
        </w:rPr>
      </w:pPr>
      <w:r w:rsidRPr="00BC77C6">
        <w:rPr>
          <w:rFonts w:cs="Calibri"/>
          <w:sz w:val="24"/>
          <w:szCs w:val="24"/>
        </w:rPr>
        <w:t>Consoante às razões de fato e de direito que passa a expor</w:t>
      </w:r>
    </w:p>
    <w:p w14:paraId="4D7532F5" w14:textId="77777777" w:rsidR="00AF1F4A" w:rsidRDefault="00AF1F4A" w:rsidP="00BC77C6">
      <w:pPr>
        <w:spacing w:before="200" w:after="200" w:line="240" w:lineRule="auto"/>
        <w:rPr>
          <w:rFonts w:cs="Calibri"/>
          <w:b/>
          <w:bCs/>
          <w:u w:val="single"/>
        </w:rPr>
      </w:pPr>
    </w:p>
    <w:p w14:paraId="2BC06105" w14:textId="671D3791" w:rsidR="00BC77C6" w:rsidRPr="00CC67DC" w:rsidRDefault="00BC77C6" w:rsidP="00BC77C6">
      <w:pPr>
        <w:pStyle w:val="NormalWeb"/>
        <w:spacing w:after="240" w:afterAutospacing="0" w:line="360" w:lineRule="auto"/>
        <w:jc w:val="both"/>
        <w:rPr>
          <w:rFonts w:ascii="Calibri" w:hAnsi="Calibri" w:cs="Calibri"/>
          <w:b/>
        </w:rPr>
      </w:pPr>
      <w:r>
        <w:rPr>
          <w:rFonts w:ascii="Calibri" w:hAnsi="Calibri" w:cs="Calibri"/>
          <w:b/>
        </w:rPr>
        <w:t xml:space="preserve">- </w:t>
      </w:r>
      <w:r w:rsidRPr="00CC67DC">
        <w:rPr>
          <w:rFonts w:ascii="Calibri" w:hAnsi="Calibri" w:cs="Calibri"/>
          <w:b/>
        </w:rPr>
        <w:t>DOS FATOS NARRADOS</w:t>
      </w:r>
      <w:r>
        <w:rPr>
          <w:rFonts w:ascii="Calibri" w:hAnsi="Calibri" w:cs="Calibri"/>
          <w:b/>
        </w:rPr>
        <w:t xml:space="preserve"> NA INICIAL</w:t>
      </w:r>
    </w:p>
    <w:p w14:paraId="0E56BAC9" w14:textId="49FE85F0" w:rsidR="00BC77C6" w:rsidRPr="001E7EC9" w:rsidRDefault="00BC77C6" w:rsidP="00BC77C6">
      <w:pPr>
        <w:spacing w:line="360" w:lineRule="auto"/>
        <w:ind w:firstLine="1701"/>
        <w:jc w:val="both"/>
        <w:rPr>
          <w:rFonts w:cs="Calibri"/>
          <w:b/>
          <w:bCs/>
          <w:sz w:val="24"/>
          <w:szCs w:val="24"/>
        </w:rPr>
      </w:pPr>
      <w:r w:rsidRPr="00CC67DC">
        <w:rPr>
          <w:rFonts w:cs="Calibri"/>
          <w:bCs/>
          <w:sz w:val="24"/>
          <w:szCs w:val="24"/>
        </w:rPr>
        <w:t xml:space="preserve">Trata-se de Ação </w:t>
      </w:r>
      <w:r>
        <w:rPr>
          <w:rFonts w:cs="Calibri"/>
          <w:bCs/>
          <w:sz w:val="24"/>
          <w:szCs w:val="24"/>
        </w:rPr>
        <w:t xml:space="preserve">que </w:t>
      </w:r>
      <w:r w:rsidRPr="00CC67DC">
        <w:rPr>
          <w:rFonts w:cs="Calibri"/>
          <w:bCs/>
          <w:sz w:val="24"/>
          <w:szCs w:val="24"/>
        </w:rPr>
        <w:t xml:space="preserve">requer condenação da </w:t>
      </w:r>
      <w:r w:rsidRPr="00CC67DC">
        <w:rPr>
          <w:rFonts w:cs="Calibri"/>
          <w:sz w:val="24"/>
          <w:szCs w:val="24"/>
        </w:rPr>
        <w:t xml:space="preserve">CAIXA </w:t>
      </w:r>
      <w:r>
        <w:rPr>
          <w:rFonts w:cs="Calibri"/>
          <w:sz w:val="24"/>
          <w:szCs w:val="24"/>
        </w:rPr>
        <w:t xml:space="preserve">em face do atraso de obra, visando </w:t>
      </w:r>
      <w:proofErr w:type="gramStart"/>
      <w:r>
        <w:rPr>
          <w:rFonts w:cs="Calibri"/>
          <w:sz w:val="24"/>
          <w:szCs w:val="24"/>
        </w:rPr>
        <w:t xml:space="preserve">a </w:t>
      </w:r>
      <w:r w:rsidRPr="00CC67DC">
        <w:rPr>
          <w:rFonts w:cs="Calibri"/>
          <w:sz w:val="24"/>
          <w:szCs w:val="24"/>
        </w:rPr>
        <w:t xml:space="preserve"> retoma</w:t>
      </w:r>
      <w:r>
        <w:rPr>
          <w:rFonts w:cs="Calibri"/>
          <w:sz w:val="24"/>
          <w:szCs w:val="24"/>
        </w:rPr>
        <w:t>da</w:t>
      </w:r>
      <w:proofErr w:type="gramEnd"/>
      <w:r w:rsidRPr="00CC67DC">
        <w:rPr>
          <w:rFonts w:cs="Calibri"/>
          <w:sz w:val="24"/>
          <w:szCs w:val="24"/>
        </w:rPr>
        <w:t xml:space="preserve"> as obras de construção de </w:t>
      </w:r>
      <w:r>
        <w:rPr>
          <w:rFonts w:cs="Calibri"/>
          <w:sz w:val="24"/>
          <w:szCs w:val="24"/>
        </w:rPr>
        <w:t xml:space="preserve"> </w:t>
      </w:r>
      <w:r w:rsidRPr="00CC67DC">
        <w:rPr>
          <w:rFonts w:cs="Calibri"/>
          <w:sz w:val="24"/>
          <w:szCs w:val="24"/>
        </w:rPr>
        <w:t xml:space="preserve">unidades habitacionais do residencial, </w:t>
      </w:r>
      <w:r w:rsidRPr="001E7EC9">
        <w:rPr>
          <w:rFonts w:cs="Calibri"/>
          <w:b/>
          <w:bCs/>
          <w:sz w:val="24"/>
          <w:szCs w:val="24"/>
        </w:rPr>
        <w:t xml:space="preserve">empreendimento financiado com recursos do Fundo de Desenvolvimento Social − FDS, no âmbito do programa Minha Casa, Minha Vida – Entidades. </w:t>
      </w:r>
    </w:p>
    <w:p w14:paraId="30486CD0" w14:textId="77777777" w:rsidR="00BC77C6" w:rsidRPr="00CC67DC" w:rsidRDefault="00BC77C6" w:rsidP="00BC77C6">
      <w:pPr>
        <w:spacing w:line="360" w:lineRule="auto"/>
        <w:ind w:firstLine="1701"/>
        <w:jc w:val="both"/>
        <w:rPr>
          <w:rFonts w:cs="Calibri"/>
          <w:sz w:val="24"/>
          <w:szCs w:val="24"/>
        </w:rPr>
      </w:pPr>
    </w:p>
    <w:p w14:paraId="75E00355" w14:textId="77777777" w:rsidR="00BC77C6" w:rsidRDefault="00BC77C6" w:rsidP="00BC77C6">
      <w:pPr>
        <w:spacing w:line="360" w:lineRule="auto"/>
        <w:jc w:val="both"/>
        <w:rPr>
          <w:rFonts w:cs="Calibri"/>
          <w:bCs/>
          <w:sz w:val="24"/>
          <w:szCs w:val="24"/>
        </w:rPr>
      </w:pPr>
      <w:r>
        <w:rPr>
          <w:rFonts w:cs="Calibri"/>
          <w:bCs/>
          <w:sz w:val="24"/>
          <w:szCs w:val="24"/>
        </w:rPr>
        <w:lastRenderedPageBreak/>
        <w:tab/>
      </w:r>
      <w:r>
        <w:rPr>
          <w:rFonts w:cs="Calibri"/>
          <w:bCs/>
          <w:sz w:val="24"/>
          <w:szCs w:val="24"/>
        </w:rPr>
        <w:tab/>
        <w:t xml:space="preserve">  </w:t>
      </w:r>
    </w:p>
    <w:p w14:paraId="72DE6C5F" w14:textId="77777777" w:rsidR="00BC77C6" w:rsidRDefault="00BC77C6" w:rsidP="00BC77C6">
      <w:pPr>
        <w:spacing w:line="360" w:lineRule="auto"/>
        <w:jc w:val="both"/>
        <w:rPr>
          <w:rFonts w:cs="Calibri"/>
          <w:bCs/>
          <w:sz w:val="24"/>
          <w:szCs w:val="24"/>
        </w:rPr>
      </w:pPr>
    </w:p>
    <w:p w14:paraId="65833F74" w14:textId="13998358" w:rsidR="00BC77C6" w:rsidRPr="001E7EC9" w:rsidRDefault="00BC77C6" w:rsidP="00BC77C6">
      <w:pPr>
        <w:spacing w:line="360" w:lineRule="auto"/>
        <w:jc w:val="both"/>
        <w:rPr>
          <w:rFonts w:cs="Calibri"/>
          <w:bCs/>
          <w:sz w:val="24"/>
          <w:szCs w:val="24"/>
        </w:rPr>
      </w:pPr>
      <w:r>
        <w:rPr>
          <w:rFonts w:cs="Calibri"/>
          <w:bCs/>
          <w:sz w:val="24"/>
          <w:szCs w:val="24"/>
        </w:rPr>
        <w:t xml:space="preserve"> </w:t>
      </w:r>
      <w:r>
        <w:rPr>
          <w:rFonts w:cs="Calibri"/>
          <w:bCs/>
          <w:sz w:val="24"/>
          <w:szCs w:val="24"/>
        </w:rPr>
        <w:tab/>
        <w:t xml:space="preserve">Ressalte-se o </w:t>
      </w:r>
      <w:r w:rsidRPr="00CC67DC">
        <w:rPr>
          <w:rFonts w:cs="Calibri"/>
          <w:sz w:val="24"/>
          <w:szCs w:val="24"/>
        </w:rPr>
        <w:t>Termo de Cooperação e Parceria firmado com a Entidade Organizadora, em especial pelo descumprimento dos deveres previstos nas alíneas “q” e “z” da cláusula sétima do referido Termo</w:t>
      </w:r>
      <w:r>
        <w:rPr>
          <w:rFonts w:cs="Calibri"/>
          <w:sz w:val="24"/>
          <w:szCs w:val="24"/>
        </w:rPr>
        <w:t>:</w:t>
      </w:r>
    </w:p>
    <w:p w14:paraId="77262173" w14:textId="77777777" w:rsidR="00BC77C6" w:rsidRPr="00CC67DC" w:rsidRDefault="00BC77C6" w:rsidP="00BC77C6">
      <w:pPr>
        <w:spacing w:line="360" w:lineRule="auto"/>
        <w:ind w:left="1701"/>
        <w:jc w:val="both"/>
        <w:rPr>
          <w:rFonts w:cs="Calibri"/>
        </w:rPr>
      </w:pPr>
      <w:r w:rsidRPr="00CC67DC">
        <w:rPr>
          <w:rFonts w:cs="Calibri"/>
        </w:rPr>
        <w:t>“q – Coordenar a participação de todos os envolvidos na execução do empreendimento, de forma a assegurar sincronismo e harmonia na implementação do projeto e na disponibilização dos recursos necessários à sua execução;</w:t>
      </w:r>
    </w:p>
    <w:p w14:paraId="0CDE3097" w14:textId="77777777" w:rsidR="00BC77C6" w:rsidRPr="00CC67DC" w:rsidRDefault="00BC77C6" w:rsidP="00BC77C6">
      <w:pPr>
        <w:spacing w:line="360" w:lineRule="auto"/>
        <w:ind w:firstLine="1701"/>
        <w:jc w:val="both"/>
        <w:rPr>
          <w:rFonts w:cs="Calibri"/>
        </w:rPr>
      </w:pPr>
      <w:r w:rsidRPr="00CC67DC">
        <w:rPr>
          <w:rFonts w:cs="Calibri"/>
        </w:rPr>
        <w:t>...</w:t>
      </w:r>
    </w:p>
    <w:p w14:paraId="42FAD56A" w14:textId="77777777" w:rsidR="00BC77C6" w:rsidRPr="00CC67DC" w:rsidRDefault="00BC77C6" w:rsidP="00BC77C6">
      <w:pPr>
        <w:spacing w:line="360" w:lineRule="auto"/>
        <w:ind w:left="1701"/>
        <w:jc w:val="both"/>
        <w:rPr>
          <w:rFonts w:cs="Calibri"/>
        </w:rPr>
      </w:pPr>
      <w:r w:rsidRPr="00CC67DC">
        <w:rPr>
          <w:rFonts w:cs="Calibri"/>
        </w:rPr>
        <w:t>z – Apresentar à Caixa, mensalmente, relatório de fiscalização da obra e demonstrativo da evolução física do empreendimento, conforme projetos técnicos, especificações e cronograma físico-financeiro global aprovado;”</w:t>
      </w:r>
    </w:p>
    <w:p w14:paraId="2BDA2511" w14:textId="77777777" w:rsidR="00BC77C6" w:rsidRPr="00CC67DC" w:rsidRDefault="00BC77C6" w:rsidP="00BC77C6">
      <w:pPr>
        <w:spacing w:line="360" w:lineRule="auto"/>
        <w:jc w:val="both"/>
        <w:rPr>
          <w:rFonts w:cs="Calibri"/>
          <w:sz w:val="24"/>
          <w:szCs w:val="24"/>
        </w:rPr>
      </w:pPr>
    </w:p>
    <w:p w14:paraId="6ACCC3AE" w14:textId="1343332A" w:rsidR="00BC77C6" w:rsidRPr="00CC67DC" w:rsidRDefault="00BC77C6" w:rsidP="00BC77C6">
      <w:pPr>
        <w:spacing w:line="360" w:lineRule="auto"/>
        <w:ind w:firstLine="1701"/>
        <w:jc w:val="both"/>
        <w:rPr>
          <w:rFonts w:cs="Calibri"/>
          <w:sz w:val="24"/>
          <w:szCs w:val="24"/>
        </w:rPr>
      </w:pPr>
      <w:r w:rsidRPr="00BC77C6">
        <w:rPr>
          <w:rFonts w:cs="Calibri"/>
          <w:b/>
          <w:bCs/>
          <w:sz w:val="24"/>
          <w:szCs w:val="24"/>
        </w:rPr>
        <w:t xml:space="preserve">Ação pretende imputar responsabilidade à CAIXA por supostamente não adotar medidas para a retomada do empreendimento, mantendo-se omissa no seu dever legal de promover política pública de habitação, prejudicando, com isso, família de baixa renda e pretende compelir a CAIXA à conclusão do empreendimento nem a pagar: </w:t>
      </w:r>
      <w:bookmarkStart w:id="0" w:name="_Hlk139907330"/>
      <w:r w:rsidRPr="00BC77C6">
        <w:rPr>
          <w:rFonts w:cs="Calibri"/>
          <w:bCs/>
          <w:sz w:val="24"/>
          <w:szCs w:val="24"/>
        </w:rPr>
        <w:t>lucros cessantes por atraso de obra, além de danos material e moral.</w:t>
      </w:r>
    </w:p>
    <w:bookmarkEnd w:id="0"/>
    <w:p w14:paraId="4C7BE77E" w14:textId="77777777" w:rsidR="00BC77C6" w:rsidRPr="00CC67DC" w:rsidRDefault="00BC77C6" w:rsidP="00BC77C6">
      <w:pPr>
        <w:spacing w:line="360" w:lineRule="auto"/>
        <w:ind w:firstLine="1701"/>
        <w:jc w:val="both"/>
        <w:rPr>
          <w:rFonts w:cs="Calibri"/>
          <w:bCs/>
          <w:sz w:val="24"/>
          <w:szCs w:val="24"/>
        </w:rPr>
      </w:pPr>
    </w:p>
    <w:p w14:paraId="486C9B39" w14:textId="77777777" w:rsidR="00BC77C6" w:rsidRPr="00CC67DC" w:rsidRDefault="00BC77C6" w:rsidP="00BC77C6">
      <w:pPr>
        <w:spacing w:line="360" w:lineRule="auto"/>
        <w:ind w:firstLine="1701"/>
        <w:jc w:val="both"/>
        <w:rPr>
          <w:rFonts w:cs="Calibri"/>
          <w:bCs/>
          <w:sz w:val="24"/>
          <w:szCs w:val="24"/>
        </w:rPr>
      </w:pPr>
      <w:r w:rsidRPr="00CC67DC">
        <w:rPr>
          <w:rFonts w:cs="Calibri"/>
          <w:bCs/>
          <w:sz w:val="24"/>
          <w:szCs w:val="24"/>
        </w:rPr>
        <w:t>Ao final, apresenta os pedidos que seguem:</w:t>
      </w:r>
    </w:p>
    <w:p w14:paraId="1D0DC61A" w14:textId="77777777" w:rsidR="00BC77C6" w:rsidRPr="00CC67DC" w:rsidRDefault="00BC77C6" w:rsidP="00BC77C6">
      <w:pPr>
        <w:spacing w:line="360" w:lineRule="auto"/>
        <w:ind w:firstLine="1701"/>
        <w:jc w:val="both"/>
        <w:rPr>
          <w:rFonts w:cs="Calibri"/>
          <w:bCs/>
          <w:sz w:val="24"/>
          <w:szCs w:val="24"/>
        </w:rPr>
      </w:pPr>
    </w:p>
    <w:p w14:paraId="1F6093E5" w14:textId="39E90C6F" w:rsidR="00BC77C6" w:rsidRDefault="00BC77C6" w:rsidP="00BC77C6">
      <w:pPr>
        <w:spacing w:line="360" w:lineRule="auto"/>
        <w:ind w:firstLine="1701"/>
        <w:jc w:val="both"/>
        <w:rPr>
          <w:rFonts w:eastAsia="Times New Roman" w:cs="Calibri"/>
          <w:b/>
          <w:sz w:val="24"/>
          <w:szCs w:val="24"/>
          <w:lang w:eastAsia="pt-BR"/>
        </w:rPr>
      </w:pPr>
      <w:r w:rsidRPr="00CC67DC">
        <w:rPr>
          <w:rFonts w:cs="Calibri"/>
          <w:bCs/>
          <w:sz w:val="24"/>
          <w:szCs w:val="24"/>
        </w:rPr>
        <w:t>Todavia, as pretensões do Autor, no que se referem às deduções apresentadas contra a CAIXA, não têm como prosperar, conforme fundamentos de fato e de direito que a Promovida passa a expor.</w:t>
      </w:r>
    </w:p>
    <w:p w14:paraId="624CFAEF" w14:textId="77777777" w:rsidR="00BC77C6" w:rsidRDefault="00BC77C6" w:rsidP="00BC77C6">
      <w:pPr>
        <w:spacing w:line="360" w:lineRule="auto"/>
        <w:ind w:firstLine="1701"/>
        <w:jc w:val="both"/>
        <w:rPr>
          <w:rFonts w:eastAsia="Times New Roman" w:cs="Calibri"/>
          <w:b/>
          <w:sz w:val="24"/>
          <w:szCs w:val="24"/>
          <w:lang w:eastAsia="pt-BR"/>
        </w:rPr>
      </w:pPr>
    </w:p>
    <w:p w14:paraId="4225C87C" w14:textId="6CEF2746" w:rsidR="00BC77C6" w:rsidRPr="00CC67DC" w:rsidRDefault="00BC77C6" w:rsidP="00BC77C6">
      <w:pPr>
        <w:spacing w:line="360" w:lineRule="auto"/>
        <w:jc w:val="both"/>
        <w:rPr>
          <w:rFonts w:cs="Calibri"/>
          <w:b/>
        </w:rPr>
      </w:pPr>
      <w:r>
        <w:rPr>
          <w:rFonts w:eastAsia="Times New Roman" w:cs="Calibri"/>
          <w:b/>
          <w:sz w:val="24"/>
          <w:szCs w:val="24"/>
          <w:lang w:eastAsia="pt-BR"/>
        </w:rPr>
        <w:t>- DA ILEGITIMIDADE PASSIVA DA CAIXA</w:t>
      </w:r>
    </w:p>
    <w:p w14:paraId="57167F13" w14:textId="77777777" w:rsidR="00BC77C6" w:rsidRPr="00CC67DC" w:rsidRDefault="00BC77C6" w:rsidP="00BC77C6">
      <w:pPr>
        <w:pStyle w:val="PargrafodaLista"/>
        <w:spacing w:line="360" w:lineRule="auto"/>
        <w:ind w:left="0" w:firstLine="1701"/>
        <w:jc w:val="both"/>
        <w:rPr>
          <w:rFonts w:ascii="Calibri" w:hAnsi="Calibri" w:cs="Calibri"/>
          <w:bCs/>
          <w:sz w:val="24"/>
          <w:szCs w:val="24"/>
        </w:rPr>
      </w:pPr>
      <w:r w:rsidRPr="00CC67DC">
        <w:rPr>
          <w:rFonts w:ascii="Calibri" w:hAnsi="Calibri" w:cs="Calibri"/>
          <w:bCs/>
          <w:sz w:val="24"/>
          <w:szCs w:val="24"/>
        </w:rPr>
        <w:t xml:space="preserve">Inicialmente, é importante delimitar a pretensão apresentada </w:t>
      </w:r>
      <w:r>
        <w:rPr>
          <w:rFonts w:ascii="Calibri" w:hAnsi="Calibri" w:cs="Calibri"/>
          <w:bCs/>
          <w:sz w:val="24"/>
          <w:szCs w:val="24"/>
        </w:rPr>
        <w:t xml:space="preserve">contra a </w:t>
      </w:r>
      <w:r w:rsidRPr="00CC67DC">
        <w:rPr>
          <w:rFonts w:ascii="Calibri" w:hAnsi="Calibri" w:cs="Calibri"/>
          <w:bCs/>
          <w:sz w:val="24"/>
          <w:szCs w:val="24"/>
        </w:rPr>
        <w:t>CAIXA e o fundamento da responsabilidade atribuída à</w:t>
      </w:r>
      <w:r>
        <w:rPr>
          <w:rFonts w:ascii="Calibri" w:hAnsi="Calibri" w:cs="Calibri"/>
          <w:bCs/>
          <w:sz w:val="24"/>
          <w:szCs w:val="24"/>
        </w:rPr>
        <w:t xml:space="preserve"> Ré.</w:t>
      </w:r>
    </w:p>
    <w:p w14:paraId="1515CF4D" w14:textId="77777777" w:rsidR="00BC77C6" w:rsidRDefault="00BC77C6" w:rsidP="00BC77C6">
      <w:pPr>
        <w:spacing w:line="360" w:lineRule="auto"/>
        <w:ind w:firstLine="1701"/>
        <w:jc w:val="both"/>
        <w:rPr>
          <w:rFonts w:cs="Calibri"/>
          <w:b/>
          <w:sz w:val="24"/>
          <w:szCs w:val="24"/>
        </w:rPr>
      </w:pPr>
    </w:p>
    <w:p w14:paraId="00BE76D2" w14:textId="1529B343" w:rsidR="00BC77C6" w:rsidRDefault="00BC77C6" w:rsidP="00BC77C6">
      <w:pPr>
        <w:spacing w:line="360" w:lineRule="auto"/>
        <w:ind w:firstLine="1701"/>
        <w:jc w:val="both"/>
        <w:rPr>
          <w:rFonts w:cs="Calibri"/>
          <w:b/>
          <w:sz w:val="24"/>
          <w:szCs w:val="24"/>
        </w:rPr>
      </w:pPr>
      <w:r w:rsidRPr="0025366B">
        <w:rPr>
          <w:rFonts w:cs="Calibri"/>
          <w:b/>
          <w:sz w:val="24"/>
          <w:szCs w:val="24"/>
        </w:rPr>
        <w:lastRenderedPageBreak/>
        <w:t>Conforme narra</w:t>
      </w:r>
      <w:r>
        <w:rPr>
          <w:rFonts w:cs="Calibri"/>
          <w:b/>
          <w:sz w:val="24"/>
          <w:szCs w:val="24"/>
        </w:rPr>
        <w:t>tiva transcrita</w:t>
      </w:r>
      <w:r w:rsidRPr="0025366B">
        <w:rPr>
          <w:rFonts w:cs="Calibri"/>
          <w:b/>
          <w:sz w:val="24"/>
          <w:szCs w:val="24"/>
        </w:rPr>
        <w:t xml:space="preserve">, o </w:t>
      </w:r>
      <w:r>
        <w:rPr>
          <w:rFonts w:cs="Calibri"/>
          <w:b/>
          <w:sz w:val="24"/>
          <w:szCs w:val="24"/>
        </w:rPr>
        <w:t xml:space="preserve">autor </w:t>
      </w:r>
      <w:r w:rsidRPr="0025366B">
        <w:rPr>
          <w:rFonts w:cs="Calibri"/>
          <w:b/>
          <w:sz w:val="24"/>
          <w:szCs w:val="24"/>
        </w:rPr>
        <w:t xml:space="preserve">pleiteia a condenação da CAIXA na </w:t>
      </w:r>
      <w:r>
        <w:rPr>
          <w:rFonts w:cs="Calibri"/>
          <w:b/>
          <w:sz w:val="24"/>
          <w:szCs w:val="24"/>
        </w:rPr>
        <w:t xml:space="preserve">obrigação de </w:t>
      </w:r>
      <w:r>
        <w:rPr>
          <w:rFonts w:cs="Calibri"/>
          <w:b/>
          <w:sz w:val="24"/>
          <w:szCs w:val="24"/>
          <w:u w:val="single"/>
        </w:rPr>
        <w:t xml:space="preserve">indenizar em virtude de atraso na entrega do imóvel, que lhe deveria ter sido entregue até </w:t>
      </w:r>
      <w:proofErr w:type="gramStart"/>
      <w:r>
        <w:rPr>
          <w:rFonts w:cs="Calibri"/>
          <w:b/>
          <w:sz w:val="24"/>
          <w:szCs w:val="24"/>
        </w:rPr>
        <w:t>Junho</w:t>
      </w:r>
      <w:proofErr w:type="gramEnd"/>
      <w:r>
        <w:rPr>
          <w:rFonts w:cs="Calibri"/>
          <w:b/>
          <w:sz w:val="24"/>
          <w:szCs w:val="24"/>
        </w:rPr>
        <w:t>/2013, ao passo que somente teve o habite-se expedido, portanto, oportunizada a entrega das chaves em 08 de Agosto de 2013, ou seja, menos de 2 meses depois da equivocada alegação de atraso. Explicamos.</w:t>
      </w:r>
    </w:p>
    <w:p w14:paraId="6F1E96A0" w14:textId="32D7A401" w:rsidR="009B2A7D" w:rsidRDefault="009B2A7D" w:rsidP="009B2A7D">
      <w:pPr>
        <w:spacing w:line="360" w:lineRule="auto"/>
        <w:ind w:firstLine="1701"/>
        <w:jc w:val="both"/>
        <w:rPr>
          <w:rFonts w:cs="Calibri"/>
          <w:b/>
          <w:sz w:val="24"/>
          <w:szCs w:val="24"/>
        </w:rPr>
      </w:pPr>
      <w:r>
        <w:rPr>
          <w:rFonts w:cs="Calibri"/>
          <w:b/>
          <w:sz w:val="24"/>
          <w:szCs w:val="24"/>
        </w:rPr>
        <w:t xml:space="preserve">A parte autora justifica seu pleito em razão de um suposto atraso da entrega do imóvel superior a 6 (Seis) meses. Falácia. Em verdade, percebemos que o HABITE-SE para o condomínio </w:t>
      </w:r>
      <w:r w:rsidRPr="009B2A7D">
        <w:rPr>
          <w:rFonts w:cs="Calibri"/>
          <w:b/>
          <w:sz w:val="24"/>
          <w:szCs w:val="24"/>
        </w:rPr>
        <w:t>Loteamento Jardim Petrópolis II</w:t>
      </w:r>
      <w:r>
        <w:rPr>
          <w:rFonts w:cs="Calibri"/>
          <w:b/>
          <w:sz w:val="24"/>
          <w:szCs w:val="24"/>
        </w:rPr>
        <w:t xml:space="preserve"> foi expedido em 08.08.2013. Assim, considerando que o contrato foi celebrado em 14/02/2012 com estipulação de entrega do imóvel em 18 meses, percebemos que NÃO HOUVE ATRASO NA ENTREGA.</w:t>
      </w:r>
    </w:p>
    <w:p w14:paraId="53EA31D6" w14:textId="7A7B3EDB" w:rsidR="009B2A7D" w:rsidRPr="009B2A7D" w:rsidRDefault="009B2A7D" w:rsidP="009B2A7D">
      <w:pPr>
        <w:spacing w:line="360" w:lineRule="auto"/>
        <w:ind w:firstLine="1701"/>
        <w:jc w:val="both"/>
        <w:rPr>
          <w:rFonts w:cs="Calibri"/>
          <w:b/>
          <w:sz w:val="24"/>
          <w:szCs w:val="24"/>
        </w:rPr>
      </w:pPr>
      <w:r>
        <w:rPr>
          <w:rFonts w:cs="Calibri"/>
          <w:b/>
          <w:sz w:val="24"/>
          <w:szCs w:val="24"/>
        </w:rPr>
        <w:t>Convém destacar ainda que, mesmo que pudesse se falar em atraso de obra e suposto dano material e moral (o que não procede!!!), temos que o empreendimento foi COMPLETAMENTE CONCLUÍDO (todas as 150 unidades) em 17/01/2014. Logo, considerando a incidência da legislação consumerista reclamada pelo próprio autor, temos que a pretensão deduzida na exordial está COMPLETAMENTE PRESCRITA!!</w:t>
      </w:r>
    </w:p>
    <w:p w14:paraId="25E11275" w14:textId="77777777" w:rsidR="00BC77C6" w:rsidRDefault="00BC77C6" w:rsidP="00BC77C6">
      <w:pPr>
        <w:spacing w:line="360" w:lineRule="auto"/>
        <w:ind w:firstLine="1701"/>
        <w:jc w:val="both"/>
        <w:rPr>
          <w:rFonts w:cs="Calibri"/>
          <w:b/>
          <w:sz w:val="24"/>
          <w:szCs w:val="24"/>
        </w:rPr>
      </w:pPr>
    </w:p>
    <w:p w14:paraId="468DE6E0" w14:textId="655DE72E" w:rsidR="00BC77C6" w:rsidRPr="0025366B" w:rsidRDefault="009B2A7D" w:rsidP="00BC77C6">
      <w:pPr>
        <w:spacing w:line="360" w:lineRule="auto"/>
        <w:ind w:firstLine="1701"/>
        <w:jc w:val="both"/>
        <w:rPr>
          <w:rFonts w:cs="Calibri"/>
          <w:bCs/>
          <w:sz w:val="24"/>
          <w:szCs w:val="24"/>
        </w:rPr>
      </w:pPr>
      <w:r>
        <w:rPr>
          <w:rFonts w:cs="Calibri"/>
          <w:bCs/>
          <w:sz w:val="24"/>
          <w:szCs w:val="24"/>
        </w:rPr>
        <w:t>Prosseguindo, a</w:t>
      </w:r>
      <w:r w:rsidR="00BC77C6" w:rsidRPr="0025366B">
        <w:rPr>
          <w:rFonts w:cs="Calibri"/>
          <w:bCs/>
          <w:sz w:val="24"/>
          <w:szCs w:val="24"/>
        </w:rPr>
        <w:t xml:space="preserve">firma que </w:t>
      </w:r>
      <w:r>
        <w:rPr>
          <w:rFonts w:cs="Calibri"/>
          <w:bCs/>
          <w:sz w:val="24"/>
          <w:szCs w:val="24"/>
        </w:rPr>
        <w:t>a</w:t>
      </w:r>
      <w:r w:rsidR="00BC77C6" w:rsidRPr="0025366B">
        <w:rPr>
          <w:rFonts w:cs="Calibri"/>
          <w:bCs/>
          <w:sz w:val="24"/>
          <w:szCs w:val="24"/>
        </w:rPr>
        <w:t xml:space="preserve"> obrigação deveria ser cumprida por meio da celebração de contrato de produção de empreendimento, com financiamento do PMCMV</w:t>
      </w:r>
      <w:r w:rsidR="00BC77C6">
        <w:rPr>
          <w:rFonts w:cs="Calibri"/>
          <w:bCs/>
          <w:sz w:val="24"/>
          <w:szCs w:val="24"/>
        </w:rPr>
        <w:t xml:space="preserve"> – FAIXA I - FDS</w:t>
      </w:r>
      <w:r w:rsidR="00BC77C6" w:rsidRPr="0025366B">
        <w:rPr>
          <w:rFonts w:cs="Calibri"/>
          <w:bCs/>
          <w:sz w:val="24"/>
          <w:szCs w:val="24"/>
        </w:rPr>
        <w:t xml:space="preserve"> a ser firmado pela CAIXA com construtora que disponha de capacidades técnica e econômica </w:t>
      </w:r>
      <w:r w:rsidR="00BC77C6">
        <w:rPr>
          <w:rFonts w:cs="Calibri"/>
          <w:bCs/>
          <w:sz w:val="24"/>
          <w:szCs w:val="24"/>
        </w:rPr>
        <w:t>e</w:t>
      </w:r>
      <w:r w:rsidR="00BC77C6" w:rsidRPr="0025366B">
        <w:rPr>
          <w:rFonts w:cs="Calibri"/>
          <w:bCs/>
          <w:sz w:val="24"/>
          <w:szCs w:val="24"/>
        </w:rPr>
        <w:t xml:space="preserve"> com uso, para tanto, dos recursos do FDS.</w:t>
      </w:r>
    </w:p>
    <w:p w14:paraId="4CDEF295" w14:textId="77777777" w:rsidR="00BC77C6" w:rsidRDefault="00BC77C6" w:rsidP="00BC77C6">
      <w:pPr>
        <w:spacing w:line="360" w:lineRule="auto"/>
        <w:ind w:firstLine="1701"/>
        <w:jc w:val="both"/>
        <w:rPr>
          <w:rFonts w:cs="Calibri"/>
          <w:b/>
          <w:sz w:val="24"/>
          <w:szCs w:val="24"/>
        </w:rPr>
      </w:pPr>
    </w:p>
    <w:p w14:paraId="200D2023" w14:textId="77777777" w:rsidR="00BC77C6" w:rsidRPr="00B71374" w:rsidRDefault="00BC77C6" w:rsidP="00BC77C6">
      <w:pPr>
        <w:spacing w:line="360" w:lineRule="auto"/>
        <w:ind w:firstLine="1701"/>
        <w:jc w:val="both"/>
        <w:rPr>
          <w:rFonts w:cs="Calibri"/>
          <w:bCs/>
          <w:sz w:val="24"/>
          <w:szCs w:val="24"/>
        </w:rPr>
      </w:pPr>
      <w:r w:rsidRPr="00B71374">
        <w:rPr>
          <w:rFonts w:cs="Calibri"/>
          <w:bCs/>
          <w:sz w:val="24"/>
          <w:szCs w:val="24"/>
        </w:rPr>
        <w:t xml:space="preserve">Ainda no que se refere especificamente à responsabilidade atribuída à CAIXA, alega que a </w:t>
      </w:r>
      <w:r>
        <w:rPr>
          <w:rFonts w:cs="Calibri"/>
          <w:bCs/>
          <w:sz w:val="24"/>
          <w:szCs w:val="24"/>
        </w:rPr>
        <w:t>Caixa</w:t>
      </w:r>
      <w:r w:rsidRPr="00B71374">
        <w:rPr>
          <w:rFonts w:cs="Calibri"/>
          <w:bCs/>
          <w:sz w:val="24"/>
          <w:szCs w:val="24"/>
        </w:rPr>
        <w:t xml:space="preserve"> seria responsável pela execução da política pública habitacional e teria sido omissa nos cuidados na liberação de recursos.</w:t>
      </w:r>
    </w:p>
    <w:p w14:paraId="3296A8AC" w14:textId="77777777" w:rsidR="00BC77C6" w:rsidRPr="00B71374" w:rsidRDefault="00BC77C6" w:rsidP="00BC77C6">
      <w:pPr>
        <w:spacing w:line="360" w:lineRule="auto"/>
        <w:ind w:firstLine="1701"/>
        <w:jc w:val="both"/>
        <w:rPr>
          <w:rFonts w:cs="Calibri"/>
          <w:bCs/>
          <w:sz w:val="24"/>
          <w:szCs w:val="24"/>
        </w:rPr>
      </w:pPr>
    </w:p>
    <w:p w14:paraId="58D18CAC" w14:textId="3375AFBD" w:rsidR="00BC77C6" w:rsidRDefault="00BC77C6" w:rsidP="00BC77C6">
      <w:pPr>
        <w:spacing w:line="360" w:lineRule="auto"/>
        <w:ind w:firstLine="1701"/>
        <w:jc w:val="both"/>
        <w:rPr>
          <w:rFonts w:cs="Calibri"/>
          <w:sz w:val="24"/>
          <w:szCs w:val="24"/>
        </w:rPr>
      </w:pPr>
      <w:r>
        <w:rPr>
          <w:rFonts w:cs="Calibri"/>
          <w:sz w:val="24"/>
          <w:szCs w:val="24"/>
        </w:rPr>
        <w:t xml:space="preserve">Alega que há responsabilidade solidária desta empresa pública para com a Entidade Organizadora, </w:t>
      </w:r>
      <w:r w:rsidR="009B2A7D">
        <w:rPr>
          <w:rFonts w:cs="Calibri"/>
          <w:sz w:val="24"/>
          <w:szCs w:val="24"/>
        </w:rPr>
        <w:t>em razão do termo de cooperação, de modo que a CAIXA deve arcar com a indenização a título de lucros cessantes, danos materiais e mesmo danos morais!</w:t>
      </w:r>
    </w:p>
    <w:p w14:paraId="7A0E998B" w14:textId="77777777" w:rsidR="00BC77C6" w:rsidRPr="00B71374" w:rsidRDefault="00BC77C6" w:rsidP="00BC77C6">
      <w:pPr>
        <w:spacing w:line="360" w:lineRule="auto"/>
        <w:ind w:firstLine="1701"/>
        <w:jc w:val="both"/>
        <w:rPr>
          <w:rFonts w:cs="Calibri"/>
          <w:sz w:val="24"/>
          <w:szCs w:val="24"/>
        </w:rPr>
      </w:pPr>
    </w:p>
    <w:p w14:paraId="1D255B64" w14:textId="77777777" w:rsidR="00BC77C6" w:rsidRPr="00B71374" w:rsidRDefault="00BC77C6" w:rsidP="00BC77C6">
      <w:pPr>
        <w:spacing w:line="360" w:lineRule="auto"/>
        <w:ind w:firstLine="1701"/>
        <w:jc w:val="both"/>
        <w:rPr>
          <w:rFonts w:cs="Calibri"/>
          <w:b/>
          <w:sz w:val="24"/>
          <w:szCs w:val="24"/>
        </w:rPr>
      </w:pPr>
      <w:r w:rsidRPr="00B71374">
        <w:rPr>
          <w:rFonts w:cs="Calibri"/>
          <w:b/>
          <w:sz w:val="24"/>
          <w:szCs w:val="24"/>
        </w:rPr>
        <w:lastRenderedPageBreak/>
        <w:t xml:space="preserve">Contudo, os argumentos não prosperam, seja porque a alegada omissão da CAIXA não corresponde à verdade, seja porque os argumentos demonstram desconhecimento do Autor, em relação à </w:t>
      </w:r>
      <w:r w:rsidRPr="00AA491B">
        <w:rPr>
          <w:rFonts w:cs="Calibri"/>
          <w:b/>
          <w:sz w:val="24"/>
          <w:szCs w:val="24"/>
          <w:u w:val="single"/>
        </w:rPr>
        <w:t>regulamentação do PMCMV – FAIXA I –</w:t>
      </w:r>
      <w:r w:rsidRPr="00B71374">
        <w:rPr>
          <w:rFonts w:cs="Calibri"/>
          <w:b/>
          <w:sz w:val="24"/>
          <w:szCs w:val="24"/>
        </w:rPr>
        <w:t xml:space="preserve"> </w:t>
      </w:r>
      <w:r w:rsidRPr="00B71374">
        <w:rPr>
          <w:rFonts w:cs="Calibri"/>
          <w:b/>
          <w:sz w:val="24"/>
          <w:szCs w:val="24"/>
          <w:u w:val="single"/>
        </w:rPr>
        <w:t>Entidades</w:t>
      </w:r>
      <w:r w:rsidRPr="00B71374">
        <w:rPr>
          <w:rFonts w:cs="Calibri"/>
          <w:b/>
          <w:sz w:val="24"/>
          <w:szCs w:val="24"/>
        </w:rPr>
        <w:t>.</w:t>
      </w:r>
    </w:p>
    <w:p w14:paraId="3D2FC267" w14:textId="77777777" w:rsidR="00BC77C6" w:rsidRDefault="00BC77C6" w:rsidP="00BC77C6">
      <w:pPr>
        <w:spacing w:line="360" w:lineRule="auto"/>
        <w:ind w:firstLine="1701"/>
        <w:jc w:val="both"/>
        <w:rPr>
          <w:rFonts w:cs="Calibri"/>
          <w:b/>
          <w:sz w:val="24"/>
          <w:szCs w:val="24"/>
        </w:rPr>
      </w:pPr>
    </w:p>
    <w:p w14:paraId="6C41B04C" w14:textId="77777777" w:rsidR="00BC77C6" w:rsidRDefault="00BC77C6" w:rsidP="00BC77C6">
      <w:pPr>
        <w:spacing w:line="360" w:lineRule="auto"/>
        <w:ind w:firstLine="1701"/>
        <w:jc w:val="both"/>
        <w:rPr>
          <w:rFonts w:cs="Calibri"/>
          <w:b/>
          <w:sz w:val="24"/>
          <w:szCs w:val="24"/>
        </w:rPr>
      </w:pPr>
      <w:r>
        <w:rPr>
          <w:rFonts w:cs="Calibri"/>
          <w:b/>
          <w:sz w:val="24"/>
          <w:szCs w:val="24"/>
        </w:rPr>
        <w:t>De início</w:t>
      </w:r>
      <w:r w:rsidRPr="00521DDC">
        <w:rPr>
          <w:rFonts w:cs="Calibri"/>
          <w:b/>
          <w:sz w:val="24"/>
          <w:szCs w:val="24"/>
        </w:rPr>
        <w:t>,</w:t>
      </w:r>
      <w:r>
        <w:rPr>
          <w:rFonts w:cs="Calibri"/>
          <w:b/>
          <w:sz w:val="24"/>
          <w:szCs w:val="24"/>
        </w:rPr>
        <w:t xml:space="preserve"> é de se destacar que</w:t>
      </w:r>
      <w:r w:rsidRPr="00521DDC">
        <w:rPr>
          <w:rFonts w:cs="Calibri"/>
          <w:b/>
          <w:sz w:val="24"/>
          <w:szCs w:val="24"/>
        </w:rPr>
        <w:t xml:space="preserve"> a CAIXA não tem atribuição, dentro do Programa Minha Casa Minha Vida - </w:t>
      </w:r>
      <w:r w:rsidRPr="00B71374">
        <w:rPr>
          <w:rFonts w:cs="Calibri"/>
          <w:b/>
          <w:sz w:val="24"/>
          <w:szCs w:val="24"/>
          <w:u w:val="single"/>
        </w:rPr>
        <w:t>Entidades</w:t>
      </w:r>
      <w:r w:rsidRPr="00521DDC">
        <w:rPr>
          <w:rFonts w:cs="Calibri"/>
          <w:b/>
          <w:sz w:val="24"/>
          <w:szCs w:val="24"/>
        </w:rPr>
        <w:t xml:space="preserve">, para proceder com a contratação de outra Construtora </w:t>
      </w:r>
      <w:r>
        <w:rPr>
          <w:rFonts w:cs="Calibri"/>
          <w:b/>
          <w:sz w:val="24"/>
          <w:szCs w:val="24"/>
        </w:rPr>
        <w:t xml:space="preserve">e nem muito menos </w:t>
      </w:r>
      <w:r w:rsidRPr="00521DDC">
        <w:rPr>
          <w:rFonts w:cs="Calibri"/>
          <w:b/>
          <w:sz w:val="24"/>
          <w:szCs w:val="24"/>
        </w:rPr>
        <w:t>para retomar as obras</w:t>
      </w:r>
      <w:r>
        <w:rPr>
          <w:rFonts w:cs="Calibri"/>
          <w:b/>
          <w:sz w:val="24"/>
          <w:szCs w:val="24"/>
        </w:rPr>
        <w:t xml:space="preserve">. </w:t>
      </w:r>
      <w:r w:rsidRPr="00B71374">
        <w:rPr>
          <w:rFonts w:cs="Calibri"/>
          <w:b/>
          <w:sz w:val="24"/>
          <w:szCs w:val="24"/>
          <w:u w:val="single"/>
        </w:rPr>
        <w:t>Esta premissa, inclusive, implica na ilegitimidade da Ré para responder este ponto da ação</w:t>
      </w:r>
      <w:r w:rsidRPr="00521DDC">
        <w:rPr>
          <w:rFonts w:cs="Calibri"/>
          <w:b/>
          <w:sz w:val="24"/>
          <w:szCs w:val="24"/>
        </w:rPr>
        <w:t>.</w:t>
      </w:r>
    </w:p>
    <w:p w14:paraId="2F154D5F" w14:textId="77777777" w:rsidR="00BC77C6" w:rsidRPr="00521DDC" w:rsidRDefault="00BC77C6" w:rsidP="00BC77C6">
      <w:pPr>
        <w:spacing w:line="360" w:lineRule="auto"/>
        <w:ind w:firstLine="1701"/>
        <w:jc w:val="both"/>
        <w:rPr>
          <w:rFonts w:cs="Calibri"/>
          <w:b/>
          <w:sz w:val="24"/>
          <w:szCs w:val="24"/>
        </w:rPr>
      </w:pPr>
    </w:p>
    <w:p w14:paraId="5F45EF6E" w14:textId="77777777" w:rsidR="00BC77C6" w:rsidRDefault="00BC77C6" w:rsidP="00BC77C6">
      <w:pPr>
        <w:autoSpaceDE w:val="0"/>
        <w:autoSpaceDN w:val="0"/>
        <w:adjustRightInd w:val="0"/>
        <w:spacing w:line="360" w:lineRule="auto"/>
        <w:ind w:firstLine="1701"/>
        <w:jc w:val="both"/>
        <w:rPr>
          <w:rFonts w:cs="Calibri"/>
          <w:sz w:val="24"/>
          <w:szCs w:val="24"/>
        </w:rPr>
      </w:pPr>
      <w:r>
        <w:rPr>
          <w:rFonts w:cs="Calibri"/>
          <w:sz w:val="24"/>
          <w:szCs w:val="24"/>
        </w:rPr>
        <w:t xml:space="preserve">O PMCMV é disciplinado na Lei 11.977/2009 e prevê condições específicas para o PNHU (Habitação Urbana – que pode ser com recursos FAR ou com recursos FDS) e PNHR (Habitação Rural – recursos do OGU – Orçamento Geral da União). </w:t>
      </w:r>
    </w:p>
    <w:p w14:paraId="18FF3876" w14:textId="77777777" w:rsidR="00BC77C6" w:rsidRDefault="00BC77C6" w:rsidP="00BC77C6">
      <w:pPr>
        <w:autoSpaceDE w:val="0"/>
        <w:autoSpaceDN w:val="0"/>
        <w:adjustRightInd w:val="0"/>
        <w:spacing w:line="360" w:lineRule="auto"/>
        <w:ind w:firstLine="1701"/>
        <w:jc w:val="both"/>
        <w:rPr>
          <w:rFonts w:cs="Calibri"/>
          <w:sz w:val="24"/>
          <w:szCs w:val="24"/>
        </w:rPr>
      </w:pPr>
    </w:p>
    <w:p w14:paraId="1225D71E" w14:textId="77777777" w:rsidR="00BC77C6" w:rsidRPr="00521DDC" w:rsidRDefault="00BC77C6" w:rsidP="00BC77C6">
      <w:pPr>
        <w:autoSpaceDE w:val="0"/>
        <w:autoSpaceDN w:val="0"/>
        <w:adjustRightInd w:val="0"/>
        <w:spacing w:line="360" w:lineRule="auto"/>
        <w:ind w:firstLine="1701"/>
        <w:jc w:val="both"/>
        <w:rPr>
          <w:rFonts w:cs="Calibri"/>
          <w:sz w:val="24"/>
          <w:szCs w:val="24"/>
        </w:rPr>
      </w:pPr>
      <w:r>
        <w:rPr>
          <w:rFonts w:cs="Calibri"/>
          <w:sz w:val="24"/>
          <w:szCs w:val="24"/>
        </w:rPr>
        <w:t>O</w:t>
      </w:r>
      <w:r w:rsidRPr="00521DDC">
        <w:rPr>
          <w:rFonts w:cs="Calibri"/>
          <w:sz w:val="24"/>
          <w:szCs w:val="24"/>
        </w:rPr>
        <w:t xml:space="preserve"> Programa Minha Casa, Minha Vida – </w:t>
      </w:r>
      <w:r w:rsidRPr="00B71374">
        <w:rPr>
          <w:rFonts w:cs="Calibri"/>
          <w:b/>
          <w:bCs/>
          <w:sz w:val="24"/>
          <w:szCs w:val="24"/>
          <w:u w:val="single"/>
        </w:rPr>
        <w:t>Entidades</w:t>
      </w:r>
      <w:r w:rsidRPr="00521DDC">
        <w:rPr>
          <w:rFonts w:cs="Calibri"/>
          <w:b/>
          <w:bCs/>
          <w:sz w:val="24"/>
          <w:szCs w:val="24"/>
        </w:rPr>
        <w:t xml:space="preserve"> </w:t>
      </w:r>
      <w:r w:rsidRPr="00521DDC">
        <w:rPr>
          <w:rFonts w:cs="Calibri"/>
          <w:sz w:val="24"/>
          <w:szCs w:val="24"/>
        </w:rPr>
        <w:t>(PMCMV-E)</w:t>
      </w:r>
      <w:r>
        <w:rPr>
          <w:rFonts w:cs="Calibri"/>
          <w:sz w:val="24"/>
          <w:szCs w:val="24"/>
        </w:rPr>
        <w:t xml:space="preserve"> se trata de desdobramento do programa habitacional do</w:t>
      </w:r>
      <w:r w:rsidRPr="00521DDC">
        <w:rPr>
          <w:rFonts w:cs="Calibri"/>
          <w:sz w:val="24"/>
          <w:szCs w:val="24"/>
        </w:rPr>
        <w:t xml:space="preserve"> Governo Federal, cujo gestor é o Ministério do Desenvolvimento Regional (extinto Ministério das Cidades)</w:t>
      </w:r>
      <w:r>
        <w:rPr>
          <w:rFonts w:cs="Calibri"/>
          <w:sz w:val="24"/>
          <w:szCs w:val="24"/>
        </w:rPr>
        <w:t>, que</w:t>
      </w:r>
      <w:r w:rsidRPr="00521DDC">
        <w:rPr>
          <w:rFonts w:cs="Calibri"/>
          <w:sz w:val="24"/>
          <w:szCs w:val="24"/>
        </w:rPr>
        <w:t xml:space="preserve"> tem a CAIXA como agente</w:t>
      </w:r>
      <w:r>
        <w:rPr>
          <w:rFonts w:cs="Calibri"/>
          <w:sz w:val="24"/>
          <w:szCs w:val="24"/>
        </w:rPr>
        <w:t xml:space="preserve"> operador e</w:t>
      </w:r>
      <w:r w:rsidRPr="00521DDC">
        <w:rPr>
          <w:rFonts w:cs="Calibri"/>
          <w:sz w:val="24"/>
          <w:szCs w:val="24"/>
        </w:rPr>
        <w:t xml:space="preserve"> financeiro de repasse dos recursos do Fundo de Desenvolvimento Social – FDS, conforme </w:t>
      </w:r>
      <w:r w:rsidRPr="00F624BE">
        <w:rPr>
          <w:rFonts w:cs="Calibri"/>
          <w:b/>
          <w:bCs/>
          <w:sz w:val="24"/>
          <w:szCs w:val="24"/>
          <w:u w:val="single"/>
        </w:rPr>
        <w:t>Instrução Normativa nº 12 de 07 de junho de 2018</w:t>
      </w:r>
      <w:r w:rsidRPr="00F624BE">
        <w:rPr>
          <w:rFonts w:cs="Calibri"/>
          <w:sz w:val="24"/>
          <w:szCs w:val="24"/>
        </w:rPr>
        <w:t xml:space="preserve"> do ministério das Cidades</w:t>
      </w:r>
      <w:r>
        <w:rPr>
          <w:rFonts w:cs="Calibri"/>
          <w:sz w:val="24"/>
          <w:szCs w:val="24"/>
        </w:rPr>
        <w:t>, atual MDR</w:t>
      </w:r>
      <w:r w:rsidRPr="00F624BE">
        <w:rPr>
          <w:rFonts w:cs="Calibri"/>
          <w:sz w:val="24"/>
          <w:szCs w:val="24"/>
        </w:rPr>
        <w:t xml:space="preserve">, a qual regulamenta o programa em questão. </w:t>
      </w:r>
    </w:p>
    <w:p w14:paraId="50BA61FB" w14:textId="77777777" w:rsidR="00BC77C6" w:rsidRDefault="00BC77C6" w:rsidP="00BC77C6">
      <w:pPr>
        <w:autoSpaceDE w:val="0"/>
        <w:autoSpaceDN w:val="0"/>
        <w:adjustRightInd w:val="0"/>
        <w:spacing w:line="360" w:lineRule="auto"/>
        <w:ind w:firstLine="1701"/>
        <w:jc w:val="both"/>
        <w:rPr>
          <w:rFonts w:cs="Calibri"/>
          <w:sz w:val="24"/>
          <w:szCs w:val="24"/>
        </w:rPr>
      </w:pPr>
    </w:p>
    <w:p w14:paraId="194DA9FC" w14:textId="77777777" w:rsidR="00BC77C6" w:rsidRPr="00AB1B05" w:rsidRDefault="00BC77C6" w:rsidP="00BC77C6">
      <w:pPr>
        <w:autoSpaceDE w:val="0"/>
        <w:autoSpaceDN w:val="0"/>
        <w:adjustRightInd w:val="0"/>
        <w:spacing w:line="360" w:lineRule="auto"/>
        <w:ind w:firstLine="1701"/>
        <w:jc w:val="both"/>
        <w:rPr>
          <w:rStyle w:val="hgkelc"/>
          <w:rFonts w:cs="Calibri"/>
          <w:b/>
          <w:bCs/>
          <w:sz w:val="24"/>
          <w:szCs w:val="24"/>
          <w:lang w:val="pt-PT"/>
        </w:rPr>
      </w:pPr>
      <w:r w:rsidRPr="00AB1B05">
        <w:rPr>
          <w:rFonts w:cs="Calibri"/>
          <w:b/>
          <w:bCs/>
          <w:sz w:val="24"/>
          <w:szCs w:val="24"/>
        </w:rPr>
        <w:t xml:space="preserve">Trata-se de programa de </w:t>
      </w:r>
      <w:r w:rsidRPr="00AB1B05">
        <w:rPr>
          <w:rStyle w:val="hgkelc"/>
          <w:rFonts w:cs="Calibri"/>
          <w:b/>
          <w:bCs/>
          <w:sz w:val="24"/>
          <w:szCs w:val="24"/>
          <w:lang w:val="pt-PT"/>
        </w:rPr>
        <w:t xml:space="preserve">concessão de financiamentos a beneficiários organizados de forma associativa por uma Entidade Organizadora (associações, cooperativas, sindicatos e outros), com recursos provenientes do </w:t>
      </w:r>
      <w:r>
        <w:rPr>
          <w:rStyle w:val="hgkelc"/>
          <w:rFonts w:cs="Calibri"/>
          <w:b/>
          <w:bCs/>
          <w:sz w:val="24"/>
          <w:szCs w:val="24"/>
          <w:lang w:val="pt-PT"/>
        </w:rPr>
        <w:t>FDS</w:t>
      </w:r>
      <w:r w:rsidRPr="00AB1B05">
        <w:rPr>
          <w:rStyle w:val="hgkelc"/>
          <w:rFonts w:cs="Calibri"/>
          <w:b/>
          <w:bCs/>
          <w:sz w:val="24"/>
          <w:szCs w:val="24"/>
          <w:lang w:val="pt-PT"/>
        </w:rPr>
        <w:t>:</w:t>
      </w:r>
    </w:p>
    <w:p w14:paraId="537EED2E" w14:textId="77777777" w:rsidR="00BC77C6" w:rsidRPr="00AB1B05" w:rsidRDefault="00BC77C6" w:rsidP="00BC77C6">
      <w:pPr>
        <w:autoSpaceDE w:val="0"/>
        <w:autoSpaceDN w:val="0"/>
        <w:adjustRightInd w:val="0"/>
        <w:spacing w:line="360" w:lineRule="auto"/>
        <w:ind w:firstLine="1701"/>
        <w:jc w:val="both"/>
        <w:rPr>
          <w:rStyle w:val="hgkelc"/>
          <w:rFonts w:cs="Calibri"/>
          <w:b/>
          <w:bCs/>
          <w:sz w:val="24"/>
          <w:szCs w:val="24"/>
          <w:lang w:val="pt-PT"/>
        </w:rPr>
      </w:pPr>
    </w:p>
    <w:p w14:paraId="475DE63C" w14:textId="77777777" w:rsidR="00BC77C6" w:rsidRPr="00FD4F22" w:rsidRDefault="00BC77C6" w:rsidP="00BC77C6">
      <w:pPr>
        <w:pStyle w:val="NormalWeb"/>
        <w:pBdr>
          <w:top w:val="single" w:sz="4" w:space="1" w:color="auto"/>
          <w:left w:val="single" w:sz="4" w:space="4" w:color="auto"/>
          <w:bottom w:val="single" w:sz="4" w:space="1" w:color="auto"/>
          <w:right w:val="single" w:sz="4" w:space="4" w:color="auto"/>
        </w:pBdr>
        <w:spacing w:line="360" w:lineRule="auto"/>
        <w:ind w:left="1701"/>
        <w:jc w:val="both"/>
        <w:rPr>
          <w:rFonts w:ascii="Calibri" w:hAnsi="Calibri" w:cs="Calibri"/>
          <w:b/>
          <w:bCs/>
          <w:sz w:val="22"/>
          <w:szCs w:val="22"/>
        </w:rPr>
      </w:pPr>
      <w:r w:rsidRPr="00FD4F22">
        <w:rPr>
          <w:rFonts w:ascii="Calibri" w:hAnsi="Calibri" w:cs="Calibri"/>
          <w:b/>
          <w:bCs/>
          <w:sz w:val="22"/>
          <w:szCs w:val="22"/>
        </w:rPr>
        <w:t>IN nº 12/2018:</w:t>
      </w:r>
    </w:p>
    <w:p w14:paraId="7856748B" w14:textId="77777777" w:rsidR="00BC77C6" w:rsidRPr="00FD4F22" w:rsidRDefault="00BC77C6" w:rsidP="00BC77C6">
      <w:pPr>
        <w:pStyle w:val="NormalWeb"/>
        <w:pBdr>
          <w:top w:val="single" w:sz="4" w:space="1" w:color="auto"/>
          <w:left w:val="single" w:sz="4" w:space="4" w:color="auto"/>
          <w:bottom w:val="single" w:sz="4" w:space="1" w:color="auto"/>
          <w:right w:val="single" w:sz="4" w:space="4" w:color="auto"/>
        </w:pBdr>
        <w:spacing w:line="360" w:lineRule="auto"/>
        <w:ind w:left="1701"/>
        <w:jc w:val="both"/>
        <w:rPr>
          <w:rFonts w:ascii="Calibri" w:hAnsi="Calibri" w:cs="Calibri"/>
          <w:b/>
          <w:bCs/>
          <w:sz w:val="22"/>
          <w:szCs w:val="22"/>
        </w:rPr>
      </w:pPr>
      <w:r w:rsidRPr="00FD4F22">
        <w:rPr>
          <w:rFonts w:ascii="Calibri" w:hAnsi="Calibri" w:cs="Calibri"/>
          <w:b/>
          <w:bCs/>
          <w:sz w:val="22"/>
          <w:szCs w:val="22"/>
        </w:rPr>
        <w:t>6. ORIGEM DOS RECURSOS E COMPOSIÇÃO DO INVESTIMENTO</w:t>
      </w:r>
    </w:p>
    <w:p w14:paraId="27C1F627" w14:textId="77777777" w:rsidR="00BC77C6" w:rsidRPr="00FD4F22" w:rsidRDefault="00BC77C6" w:rsidP="00BC77C6">
      <w:pPr>
        <w:pStyle w:val="NormalWeb"/>
        <w:pBdr>
          <w:top w:val="single" w:sz="4" w:space="1" w:color="auto"/>
          <w:left w:val="single" w:sz="4" w:space="4" w:color="auto"/>
          <w:bottom w:val="single" w:sz="4" w:space="1" w:color="auto"/>
          <w:right w:val="single" w:sz="4" w:space="4" w:color="auto"/>
        </w:pBdr>
        <w:spacing w:line="360" w:lineRule="auto"/>
        <w:ind w:left="1701"/>
        <w:jc w:val="both"/>
        <w:rPr>
          <w:rFonts w:ascii="Calibri" w:hAnsi="Calibri" w:cs="Calibri"/>
          <w:b/>
          <w:bCs/>
          <w:sz w:val="22"/>
          <w:szCs w:val="22"/>
        </w:rPr>
      </w:pPr>
      <w:r w:rsidRPr="00FD4F22">
        <w:rPr>
          <w:rFonts w:ascii="Calibri" w:hAnsi="Calibri" w:cs="Calibri"/>
          <w:b/>
          <w:bCs/>
          <w:sz w:val="22"/>
          <w:szCs w:val="22"/>
        </w:rPr>
        <w:t>6.1 As operações do PMCMV-E utilizarão recursos provenientes do OGU, transferidos ao FDS, conforme disposto no art. 2º, inciso II, da Lei nº 11.977, de 7 de julho de 2009.</w:t>
      </w:r>
    </w:p>
    <w:p w14:paraId="570D012C" w14:textId="77777777" w:rsidR="00BC77C6" w:rsidRPr="00F624BE" w:rsidRDefault="00BC77C6" w:rsidP="00BC77C6">
      <w:pPr>
        <w:autoSpaceDE w:val="0"/>
        <w:autoSpaceDN w:val="0"/>
        <w:adjustRightInd w:val="0"/>
        <w:spacing w:line="360" w:lineRule="auto"/>
        <w:ind w:firstLine="1701"/>
        <w:jc w:val="both"/>
        <w:rPr>
          <w:rFonts w:cs="Calibri"/>
          <w:b/>
          <w:bCs/>
          <w:sz w:val="24"/>
          <w:szCs w:val="24"/>
        </w:rPr>
      </w:pPr>
    </w:p>
    <w:p w14:paraId="28F2C802" w14:textId="77777777" w:rsidR="00BC77C6" w:rsidRDefault="00BC77C6" w:rsidP="00BC77C6">
      <w:pPr>
        <w:autoSpaceDE w:val="0"/>
        <w:autoSpaceDN w:val="0"/>
        <w:adjustRightInd w:val="0"/>
        <w:spacing w:line="360" w:lineRule="auto"/>
        <w:ind w:firstLine="1701"/>
        <w:jc w:val="both"/>
        <w:rPr>
          <w:rFonts w:cs="Calibri"/>
          <w:b/>
          <w:bCs/>
          <w:sz w:val="24"/>
          <w:szCs w:val="24"/>
        </w:rPr>
      </w:pPr>
      <w:r w:rsidRPr="00521DDC">
        <w:rPr>
          <w:rFonts w:cs="Calibri"/>
          <w:sz w:val="24"/>
          <w:szCs w:val="24"/>
        </w:rPr>
        <w:lastRenderedPageBreak/>
        <w:t>A CAIXA</w:t>
      </w:r>
      <w:r>
        <w:rPr>
          <w:rFonts w:cs="Calibri"/>
          <w:sz w:val="24"/>
          <w:szCs w:val="24"/>
        </w:rPr>
        <w:t>,</w:t>
      </w:r>
      <w:r w:rsidRPr="00521DDC">
        <w:rPr>
          <w:rFonts w:cs="Calibri"/>
          <w:sz w:val="24"/>
          <w:szCs w:val="24"/>
        </w:rPr>
        <w:t xml:space="preserve"> </w:t>
      </w:r>
      <w:r>
        <w:rPr>
          <w:rFonts w:cs="Calibri"/>
          <w:sz w:val="24"/>
          <w:szCs w:val="24"/>
        </w:rPr>
        <w:t xml:space="preserve">quando atua </w:t>
      </w:r>
      <w:r w:rsidRPr="00521DDC">
        <w:rPr>
          <w:rFonts w:cs="Calibri"/>
          <w:sz w:val="24"/>
          <w:szCs w:val="24"/>
        </w:rPr>
        <w:t>como agente financeiro</w:t>
      </w:r>
      <w:r>
        <w:rPr>
          <w:rFonts w:cs="Calibri"/>
          <w:sz w:val="24"/>
          <w:szCs w:val="24"/>
        </w:rPr>
        <w:t>,</w:t>
      </w:r>
      <w:r w:rsidRPr="00521DDC">
        <w:rPr>
          <w:rFonts w:cs="Calibri"/>
          <w:sz w:val="24"/>
          <w:szCs w:val="24"/>
        </w:rPr>
        <w:t xml:space="preserve"> apenas recepciona das Entidades Organizadoras interessadas as documentações para enquadramento de propostas de construção das casas e posterior seleção </w:t>
      </w:r>
      <w:r w:rsidRPr="00521DDC">
        <w:rPr>
          <w:rFonts w:cs="Calibri"/>
          <w:b/>
          <w:bCs/>
          <w:sz w:val="24"/>
          <w:szCs w:val="24"/>
        </w:rPr>
        <w:t xml:space="preserve">pelo Ministério do Desenvolvimento Regional. </w:t>
      </w:r>
    </w:p>
    <w:p w14:paraId="04EFB219" w14:textId="77777777" w:rsidR="00BC77C6" w:rsidRDefault="00BC77C6" w:rsidP="00BC77C6">
      <w:pPr>
        <w:autoSpaceDE w:val="0"/>
        <w:autoSpaceDN w:val="0"/>
        <w:adjustRightInd w:val="0"/>
        <w:spacing w:line="360" w:lineRule="auto"/>
        <w:ind w:firstLine="1701"/>
        <w:jc w:val="both"/>
        <w:rPr>
          <w:rFonts w:cs="Calibri"/>
          <w:b/>
          <w:bCs/>
          <w:sz w:val="24"/>
          <w:szCs w:val="24"/>
        </w:rPr>
      </w:pPr>
    </w:p>
    <w:p w14:paraId="7A90137D" w14:textId="707E3FF0" w:rsidR="00BC77C6" w:rsidRDefault="00BC77C6" w:rsidP="00BC77C6">
      <w:pPr>
        <w:autoSpaceDE w:val="0"/>
        <w:autoSpaceDN w:val="0"/>
        <w:adjustRightInd w:val="0"/>
        <w:spacing w:line="360" w:lineRule="auto"/>
        <w:ind w:firstLine="1701"/>
        <w:jc w:val="both"/>
        <w:rPr>
          <w:rFonts w:cs="Calibri"/>
          <w:b/>
          <w:bCs/>
          <w:sz w:val="24"/>
          <w:szCs w:val="24"/>
        </w:rPr>
      </w:pPr>
      <w:r>
        <w:rPr>
          <w:rFonts w:cs="Calibri"/>
          <w:b/>
          <w:bCs/>
          <w:sz w:val="24"/>
          <w:szCs w:val="24"/>
        </w:rPr>
        <w:t xml:space="preserve">Eis aqui o primeiro ponto a se considerar: é a União, através do MDR, que aprova a proposta apresentada </w:t>
      </w:r>
      <w:r w:rsidRPr="00FD4F22">
        <w:rPr>
          <w:rFonts w:cs="Calibri"/>
          <w:b/>
          <w:bCs/>
          <w:sz w:val="24"/>
          <w:szCs w:val="24"/>
          <w:u w:val="single"/>
        </w:rPr>
        <w:t>diretamente pela EO</w:t>
      </w:r>
      <w:r>
        <w:rPr>
          <w:rFonts w:cs="Calibri"/>
          <w:b/>
          <w:bCs/>
          <w:sz w:val="24"/>
          <w:szCs w:val="24"/>
        </w:rPr>
        <w:t>. Nesse sentido, vale ressaltar o normativo interno do produto, HH155</w:t>
      </w:r>
      <w:r w:rsidR="009B2A7D">
        <w:rPr>
          <w:rFonts w:cs="Calibri"/>
          <w:b/>
          <w:bCs/>
          <w:sz w:val="24"/>
          <w:szCs w:val="24"/>
        </w:rPr>
        <w:t>:</w:t>
      </w:r>
      <w:r>
        <w:rPr>
          <w:rFonts w:cs="Calibri"/>
          <w:b/>
          <w:bCs/>
          <w:sz w:val="24"/>
          <w:szCs w:val="24"/>
        </w:rPr>
        <w:t xml:space="preserve"> </w:t>
      </w:r>
    </w:p>
    <w:p w14:paraId="04489B46" w14:textId="77777777" w:rsidR="00BC77C6" w:rsidRDefault="00BC77C6" w:rsidP="00BC77C6">
      <w:pPr>
        <w:autoSpaceDE w:val="0"/>
        <w:autoSpaceDN w:val="0"/>
        <w:adjustRightInd w:val="0"/>
        <w:spacing w:line="360" w:lineRule="auto"/>
        <w:ind w:firstLine="1701"/>
        <w:jc w:val="both"/>
        <w:rPr>
          <w:rFonts w:cs="Calibri"/>
          <w:b/>
          <w:bCs/>
          <w:sz w:val="24"/>
          <w:szCs w:val="24"/>
        </w:rPr>
      </w:pPr>
    </w:p>
    <w:p w14:paraId="70797F74" w14:textId="77777777" w:rsidR="00BC77C6" w:rsidRPr="009B2A7D" w:rsidRDefault="00BC77C6" w:rsidP="00BC77C6">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1701"/>
        <w:jc w:val="both"/>
        <w:rPr>
          <w:rFonts w:cs="Calibri"/>
        </w:rPr>
      </w:pPr>
      <w:r w:rsidRPr="009B2A7D">
        <w:rPr>
          <w:rFonts w:cs="Calibri"/>
        </w:rPr>
        <w:t xml:space="preserve">3.1.1.2.2 Após finalização do processo de enquadramento e análise técnica e de viabilidade da proposta, </w:t>
      </w:r>
      <w:proofErr w:type="gramStart"/>
      <w:r w:rsidRPr="009B2A7D">
        <w:rPr>
          <w:rFonts w:cs="Calibri"/>
        </w:rPr>
        <w:t>conforme Apensado</w:t>
      </w:r>
      <w:proofErr w:type="gramEnd"/>
      <w:r w:rsidRPr="009B2A7D">
        <w:rPr>
          <w:rFonts w:cs="Calibri"/>
        </w:rPr>
        <w:t xml:space="preserve"> B – SELEÇÃO DEPROPOSTAS PMCMV-EFDS, as mesmas são hierarquizadas pelo MDR, com aplicação de critérios previamente definidos na Portaria vigente.</w:t>
      </w:r>
    </w:p>
    <w:p w14:paraId="001B79BC" w14:textId="77777777" w:rsidR="00BC77C6" w:rsidRPr="009B2A7D" w:rsidRDefault="00BC77C6" w:rsidP="00BC77C6">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1701"/>
        <w:jc w:val="both"/>
        <w:rPr>
          <w:rFonts w:cs="Calibri"/>
        </w:rPr>
      </w:pPr>
    </w:p>
    <w:p w14:paraId="3919C6B0" w14:textId="77777777" w:rsidR="00BC77C6" w:rsidRPr="00E42799" w:rsidRDefault="00BC77C6" w:rsidP="00BC77C6">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1701"/>
        <w:jc w:val="both"/>
        <w:rPr>
          <w:rFonts w:cs="Calibri"/>
          <w:b/>
          <w:bCs/>
        </w:rPr>
      </w:pPr>
      <w:r w:rsidRPr="009B2A7D">
        <w:rPr>
          <w:rFonts w:cs="Calibri"/>
        </w:rPr>
        <w:t>3.1.1.6 O MDR divulgará as propostas selecionadas, que passam à fase de contratação, no prazo limite disposto na publicação de ato normativo específico, sob pena de cancelamento da seleção da operação.</w:t>
      </w:r>
    </w:p>
    <w:p w14:paraId="2CE819EB" w14:textId="77777777" w:rsidR="00BC77C6" w:rsidRPr="00521DDC" w:rsidRDefault="00BC77C6" w:rsidP="00BC77C6">
      <w:pPr>
        <w:autoSpaceDE w:val="0"/>
        <w:autoSpaceDN w:val="0"/>
        <w:adjustRightInd w:val="0"/>
        <w:spacing w:line="360" w:lineRule="auto"/>
        <w:ind w:firstLine="1701"/>
        <w:jc w:val="both"/>
        <w:rPr>
          <w:rFonts w:cs="Calibri"/>
          <w:sz w:val="24"/>
          <w:szCs w:val="24"/>
        </w:rPr>
      </w:pPr>
    </w:p>
    <w:p w14:paraId="5F371546" w14:textId="77777777" w:rsidR="00BC77C6" w:rsidRDefault="00BC77C6" w:rsidP="00BC77C6">
      <w:pPr>
        <w:autoSpaceDE w:val="0"/>
        <w:autoSpaceDN w:val="0"/>
        <w:adjustRightInd w:val="0"/>
        <w:spacing w:line="360" w:lineRule="auto"/>
        <w:ind w:firstLine="1701"/>
        <w:jc w:val="both"/>
        <w:rPr>
          <w:rFonts w:cs="Calibri"/>
          <w:b/>
          <w:bCs/>
          <w:sz w:val="24"/>
          <w:szCs w:val="24"/>
        </w:rPr>
      </w:pPr>
      <w:r w:rsidRPr="002C2F40">
        <w:rPr>
          <w:rFonts w:cs="Calibri"/>
          <w:b/>
          <w:bCs/>
          <w:sz w:val="24"/>
          <w:szCs w:val="24"/>
        </w:rPr>
        <w:t>Não compete à CAIXA a seleção das propostas ou determinar a construção</w:t>
      </w:r>
      <w:r>
        <w:rPr>
          <w:rFonts w:cs="Calibri"/>
          <w:b/>
          <w:bCs/>
          <w:sz w:val="24"/>
          <w:szCs w:val="24"/>
        </w:rPr>
        <w:t xml:space="preserve"> de empreendimento</w:t>
      </w:r>
      <w:r w:rsidRPr="002C2F40">
        <w:rPr>
          <w:rFonts w:cs="Calibri"/>
          <w:b/>
          <w:bCs/>
          <w:sz w:val="24"/>
          <w:szCs w:val="24"/>
        </w:rPr>
        <w:t xml:space="preserve"> em qualquer Município</w:t>
      </w:r>
      <w:r w:rsidRPr="00521DDC">
        <w:rPr>
          <w:rFonts w:cs="Calibri"/>
          <w:sz w:val="24"/>
          <w:szCs w:val="24"/>
        </w:rPr>
        <w:t xml:space="preserve">. Estas propostas são apresentadas juntamente com o projeto da edificação e infraestrutura, se for o caso, devidamente respaldados e assinados por um responsável técnico (arquiteto ou engenheiro civil) contratado pela Entidade Organizadora e </w:t>
      </w:r>
      <w:r w:rsidRPr="00CF5000">
        <w:rPr>
          <w:rFonts w:cs="Calibri"/>
          <w:b/>
          <w:bCs/>
          <w:sz w:val="24"/>
          <w:szCs w:val="24"/>
        </w:rPr>
        <w:t>são aprovadas</w:t>
      </w:r>
      <w:r w:rsidRPr="00521DDC">
        <w:rPr>
          <w:rFonts w:cs="Calibri"/>
          <w:sz w:val="24"/>
          <w:szCs w:val="24"/>
        </w:rPr>
        <w:t xml:space="preserve"> </w:t>
      </w:r>
      <w:r w:rsidRPr="00521DDC">
        <w:rPr>
          <w:rFonts w:cs="Calibri"/>
          <w:b/>
          <w:bCs/>
          <w:sz w:val="24"/>
          <w:szCs w:val="24"/>
        </w:rPr>
        <w:t>pelo Ministério do Desenvolvimento Regional</w:t>
      </w:r>
      <w:r>
        <w:rPr>
          <w:rFonts w:cs="Calibri"/>
          <w:b/>
          <w:bCs/>
          <w:sz w:val="24"/>
          <w:szCs w:val="24"/>
        </w:rPr>
        <w:t xml:space="preserve"> (antigo Ministério das Cidades)</w:t>
      </w:r>
      <w:r w:rsidRPr="00521DDC">
        <w:rPr>
          <w:rFonts w:cs="Calibri"/>
          <w:b/>
          <w:bCs/>
          <w:sz w:val="24"/>
          <w:szCs w:val="24"/>
        </w:rPr>
        <w:t>.</w:t>
      </w:r>
    </w:p>
    <w:p w14:paraId="0577EFFC" w14:textId="77777777" w:rsidR="00BC77C6" w:rsidRDefault="00BC77C6" w:rsidP="00BC77C6">
      <w:pPr>
        <w:autoSpaceDE w:val="0"/>
        <w:autoSpaceDN w:val="0"/>
        <w:adjustRightInd w:val="0"/>
        <w:spacing w:line="360" w:lineRule="auto"/>
        <w:ind w:firstLine="1701"/>
        <w:jc w:val="both"/>
        <w:rPr>
          <w:rFonts w:cs="Calibri"/>
          <w:sz w:val="24"/>
          <w:szCs w:val="24"/>
        </w:rPr>
      </w:pPr>
      <w:r>
        <w:rPr>
          <w:rFonts w:cs="Calibri"/>
          <w:sz w:val="24"/>
          <w:szCs w:val="24"/>
        </w:rPr>
        <w:t>Como visto, no PMCMV – Entidades, a CAIXA atua em duas funções – item 1 da IN nº12: como Agente Operador e Agente Financeiro.</w:t>
      </w:r>
    </w:p>
    <w:p w14:paraId="00FE009E" w14:textId="77777777" w:rsidR="00BC77C6" w:rsidRDefault="00BC77C6" w:rsidP="00BC77C6">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rPr>
      </w:pPr>
      <w:r>
        <w:rPr>
          <w:rFonts w:cs="Calibri"/>
        </w:rPr>
        <w:t>IN nº 12/2018:</w:t>
      </w:r>
    </w:p>
    <w:p w14:paraId="2B6A5137" w14:textId="77777777" w:rsidR="00BC77C6" w:rsidRPr="00AB1B05" w:rsidRDefault="00BC77C6" w:rsidP="00BC77C6">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rPr>
      </w:pPr>
      <w:r w:rsidRPr="00AB1B05">
        <w:rPr>
          <w:rFonts w:cs="Calibri"/>
        </w:rPr>
        <w:t>1. PARTICIPANTES E ATRIBUIÇÕES</w:t>
      </w:r>
    </w:p>
    <w:p w14:paraId="28BA7E14" w14:textId="77777777" w:rsidR="00BC77C6" w:rsidRPr="00AB1B05" w:rsidRDefault="00BC77C6" w:rsidP="00BC77C6">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rPr>
      </w:pPr>
      <w:r w:rsidRPr="00AB1B05">
        <w:rPr>
          <w:rFonts w:cs="Calibri"/>
        </w:rPr>
        <w:t>1.1 Os participantes do Programa Minha Casa, Minha Vida Entidades – PMCMV-E e suas respectivas atribuições encontram-se definidos na forma a seguir especificada:</w:t>
      </w:r>
    </w:p>
    <w:p w14:paraId="1583951B" w14:textId="77777777" w:rsidR="00BC77C6" w:rsidRPr="00AB1B05" w:rsidRDefault="00BC77C6" w:rsidP="00BC77C6">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rPr>
      </w:pPr>
      <w:r w:rsidRPr="00AB1B05">
        <w:rPr>
          <w:rFonts w:cs="Calibri"/>
        </w:rPr>
        <w:t xml:space="preserve">1.a) Órgão Gestor – Ministério das Cidades/Secretaria Nacional de Habitação – </w:t>
      </w:r>
      <w:proofErr w:type="spellStart"/>
      <w:r w:rsidRPr="00AB1B05">
        <w:rPr>
          <w:rFonts w:cs="Calibri"/>
        </w:rPr>
        <w:t>MCidades</w:t>
      </w:r>
      <w:proofErr w:type="spellEnd"/>
      <w:r w:rsidRPr="00AB1B05">
        <w:rPr>
          <w:rFonts w:cs="Calibri"/>
        </w:rPr>
        <w:t xml:space="preserve">/SNH: tem a atribuição de definir as diretrizes, prioridades, </w:t>
      </w:r>
      <w:r w:rsidRPr="00AB1B05">
        <w:rPr>
          <w:rFonts w:cs="Calibri"/>
          <w:b/>
          <w:bCs/>
          <w:u w:val="single"/>
        </w:rPr>
        <w:t>sanções</w:t>
      </w:r>
      <w:r w:rsidRPr="00AB1B05">
        <w:rPr>
          <w:rFonts w:cs="Calibri"/>
        </w:rPr>
        <w:t xml:space="preserve">, estabelecer critérios, procedimentos e parâmetros básicos para análise, hierarquização, seleção e contratação das propostas, bem como acompanhar e avaliar as ações desenvolvidas para implementação do </w:t>
      </w:r>
      <w:r w:rsidRPr="00AB1B05">
        <w:rPr>
          <w:rFonts w:cs="Calibri"/>
        </w:rPr>
        <w:lastRenderedPageBreak/>
        <w:t>Programa e repasse de recurso do Orçamento Geral da União – OGU ao Fundo de Desenvolvimento Social – FDS.</w:t>
      </w:r>
    </w:p>
    <w:p w14:paraId="73FBE1BE" w14:textId="77777777" w:rsidR="00BC77C6" w:rsidRPr="00AB1B05" w:rsidRDefault="00BC77C6" w:rsidP="00BC77C6">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b/>
          <w:bCs/>
          <w:u w:val="single"/>
        </w:rPr>
      </w:pPr>
      <w:r w:rsidRPr="00AB1B05">
        <w:rPr>
          <w:rFonts w:cs="Calibri"/>
        </w:rPr>
        <w:t xml:space="preserve">1.b) Agente Operador – Caixa Econômica Federal – CEF: responsável por alocar o orçamento ao Agente Financeiro de acordo com a distribuição orçamentária por região geográfica, definir e orientar acerca dos procedimentos operacionais a serem observados pelo Agente Financeiro na execução do Programa, enviar propostas de intervenção habitacional, consideradas enquadradas para fins de seleção pelo Órgão Gestor, remunerar o Agente Financeiro pelas atividades exercidas no âmbito das operações, observados os valores fixados em Portaria Interministerial específica, apurar responsabilidade por eventuais falhas na atuação do agente financeiro, </w:t>
      </w:r>
      <w:r w:rsidRPr="00AB1B05">
        <w:rPr>
          <w:rFonts w:cs="Calibri"/>
          <w:b/>
          <w:bCs/>
          <w:u w:val="single"/>
        </w:rPr>
        <w:t xml:space="preserve">disponibilizar mensalmente ao </w:t>
      </w:r>
      <w:proofErr w:type="spellStart"/>
      <w:r w:rsidRPr="00AB1B05">
        <w:rPr>
          <w:rFonts w:cs="Calibri"/>
          <w:b/>
          <w:bCs/>
          <w:u w:val="single"/>
        </w:rPr>
        <w:t>MCidades</w:t>
      </w:r>
      <w:proofErr w:type="spellEnd"/>
      <w:r w:rsidRPr="00AB1B05">
        <w:rPr>
          <w:rFonts w:cs="Calibri"/>
          <w:b/>
          <w:bCs/>
          <w:u w:val="single"/>
        </w:rPr>
        <w:t xml:space="preserve"> as informações dispostas nesta Instrução Normativa necessárias ao monitoramento e avaliação do Programa e por acompanhar e monitorar as operações contratadas pelo Agente Financeiro.</w:t>
      </w:r>
    </w:p>
    <w:p w14:paraId="21102FAC" w14:textId="77777777" w:rsidR="00BC77C6" w:rsidRPr="00AB1B05" w:rsidRDefault="00BC77C6" w:rsidP="00BC77C6">
      <w:pPr>
        <w:pBdr>
          <w:top w:val="single" w:sz="4" w:space="1" w:color="auto"/>
          <w:left w:val="single" w:sz="4" w:space="4" w:color="auto"/>
          <w:bottom w:val="single" w:sz="4" w:space="1" w:color="auto"/>
          <w:right w:val="single" w:sz="4" w:space="4" w:color="auto"/>
        </w:pBdr>
        <w:spacing w:before="100" w:beforeAutospacing="1" w:after="100" w:afterAutospacing="1"/>
        <w:ind w:left="1701"/>
        <w:jc w:val="both"/>
        <w:rPr>
          <w:rFonts w:cs="Calibri"/>
        </w:rPr>
      </w:pPr>
      <w:r w:rsidRPr="00AB1B05">
        <w:rPr>
          <w:rFonts w:cs="Calibri"/>
        </w:rPr>
        <w:t xml:space="preserve">1.c) Agente Financeiro – Caixa Econômica Federal – CEF: Responsável por executar procedimentos de habilitação das EO para atuação no PMCMV-E, recepcionar e analisar documentação para enquadramento de propostas e posterior seleção pelo Órgão Gestor, analisar as propostas de intervenção habitacional selecionadas pelo Órgão Gestor sob os aspectos jurídico, técnico e cadastral e contratar as propostas que demonstrem viabilidade técnico-econômica, receber e verificar Anotação de Responsabilidade Técnica de Obras e Serviços – ART ou Registro de Responsabilidade Técnica – RRT, monitorar a execução dos contratos incluindo as atividades de trabalho social, efetuar a liberação de recursos, acompanhar atividades relativas à entrega dos empreendimentos, </w:t>
      </w:r>
      <w:r w:rsidRPr="00AB1B05">
        <w:rPr>
          <w:rFonts w:cs="Calibri"/>
          <w:b/>
          <w:bCs/>
          <w:u w:val="single"/>
        </w:rPr>
        <w:t>encaminhar providências para tratamento de empreendimentos frustrados,</w:t>
      </w:r>
      <w:r w:rsidRPr="00AB1B05">
        <w:rPr>
          <w:rFonts w:cs="Calibri"/>
        </w:rPr>
        <w:t xml:space="preserve"> executar atividades de manutenção contratual pós-entrega incluindo a cobrança das prestações junto aos beneficiários e repasse das mesmas ao FDS, identificar a ocorrência de desvios de finalidade das unidades habitacionais entregues e adotar providências quando cabível e prestar as informações solicitadas pelo Agente Operador, e efetuar chamamento público como forma de seleção de Entidade Organizadora, quando necessário.</w:t>
      </w:r>
    </w:p>
    <w:p w14:paraId="6F6205BB" w14:textId="19959235" w:rsidR="009B2A7D" w:rsidRPr="009B2A7D" w:rsidRDefault="00BC77C6" w:rsidP="009B2A7D">
      <w:pPr>
        <w:autoSpaceDE w:val="0"/>
        <w:autoSpaceDN w:val="0"/>
        <w:adjustRightInd w:val="0"/>
        <w:spacing w:line="360" w:lineRule="auto"/>
        <w:ind w:firstLine="1701"/>
        <w:jc w:val="both"/>
        <w:rPr>
          <w:rFonts w:cs="Calibri"/>
          <w:b/>
          <w:bCs/>
          <w:sz w:val="24"/>
          <w:szCs w:val="24"/>
          <w:u w:val="single"/>
        </w:rPr>
      </w:pPr>
      <w:r w:rsidRPr="00521DDC">
        <w:rPr>
          <w:rFonts w:cs="Calibri"/>
          <w:sz w:val="24"/>
          <w:szCs w:val="24"/>
        </w:rPr>
        <w:t xml:space="preserve">Uma vez aprovado o projeto pelo MDR, </w:t>
      </w:r>
      <w:r>
        <w:rPr>
          <w:rFonts w:cs="Calibri"/>
          <w:sz w:val="24"/>
          <w:szCs w:val="24"/>
        </w:rPr>
        <w:t>a CAIXA atesta</w:t>
      </w:r>
      <w:r w:rsidRPr="00521DDC">
        <w:rPr>
          <w:rFonts w:cs="Calibri"/>
          <w:sz w:val="24"/>
          <w:szCs w:val="24"/>
        </w:rPr>
        <w:t xml:space="preserve"> </w:t>
      </w:r>
      <w:r>
        <w:rPr>
          <w:rFonts w:cs="Calibri"/>
          <w:sz w:val="24"/>
          <w:szCs w:val="24"/>
        </w:rPr>
        <w:t>a</w:t>
      </w:r>
      <w:r w:rsidRPr="00521DDC">
        <w:rPr>
          <w:rFonts w:cs="Calibri"/>
          <w:sz w:val="24"/>
          <w:szCs w:val="24"/>
        </w:rPr>
        <w:t xml:space="preserve"> evolução destas obras para proceder aos desembolsos dos recursos de forma </w:t>
      </w:r>
      <w:r>
        <w:rPr>
          <w:rFonts w:cs="Calibri"/>
          <w:sz w:val="24"/>
          <w:szCs w:val="24"/>
        </w:rPr>
        <w:t>proporcional e, em caso de empreendimento frustrado, comunica a situação ao órgão gestor</w:t>
      </w:r>
      <w:r w:rsidRPr="00521DDC">
        <w:rPr>
          <w:rFonts w:cs="Calibri"/>
          <w:sz w:val="24"/>
          <w:szCs w:val="24"/>
        </w:rPr>
        <w:t xml:space="preserve">. Ressalte-se que </w:t>
      </w:r>
      <w:r w:rsidRPr="00FD4F22">
        <w:rPr>
          <w:rFonts w:cs="Calibri"/>
          <w:b/>
          <w:bCs/>
          <w:sz w:val="24"/>
          <w:szCs w:val="24"/>
          <w:u w:val="single"/>
        </w:rPr>
        <w:t>não é responsabilidade do agente financeiro a fiscalização da qualidade destas obras</w:t>
      </w:r>
      <w:r>
        <w:rPr>
          <w:rFonts w:cs="Calibri"/>
          <w:b/>
          <w:bCs/>
          <w:sz w:val="24"/>
          <w:szCs w:val="24"/>
          <w:u w:val="single"/>
        </w:rPr>
        <w:t xml:space="preserve"> nem qualquer responsabilidade</w:t>
      </w:r>
      <w:r w:rsidR="009B2A7D">
        <w:rPr>
          <w:rFonts w:cs="Calibri"/>
          <w:b/>
          <w:bCs/>
          <w:sz w:val="24"/>
          <w:szCs w:val="24"/>
          <w:u w:val="single"/>
        </w:rPr>
        <w:t xml:space="preserve"> por</w:t>
      </w:r>
      <w:r>
        <w:rPr>
          <w:rFonts w:cs="Calibri"/>
          <w:b/>
          <w:bCs/>
          <w:sz w:val="24"/>
          <w:szCs w:val="24"/>
          <w:u w:val="single"/>
        </w:rPr>
        <w:t xml:space="preserve"> </w:t>
      </w:r>
      <w:r w:rsidR="009B2A7D" w:rsidRPr="009B2A7D">
        <w:rPr>
          <w:rFonts w:cs="Calibri"/>
          <w:b/>
          <w:bCs/>
          <w:sz w:val="24"/>
          <w:szCs w:val="24"/>
          <w:u w:val="single"/>
        </w:rPr>
        <w:t>lucros cessantes por atraso de obra, além de danos material e moral.</w:t>
      </w:r>
    </w:p>
    <w:p w14:paraId="29CE30EB" w14:textId="77777777" w:rsidR="00BC77C6" w:rsidRPr="00FD4F22" w:rsidRDefault="00BC77C6" w:rsidP="00BC77C6">
      <w:pPr>
        <w:autoSpaceDE w:val="0"/>
        <w:autoSpaceDN w:val="0"/>
        <w:adjustRightInd w:val="0"/>
        <w:spacing w:line="360" w:lineRule="auto"/>
        <w:ind w:firstLine="1701"/>
        <w:jc w:val="both"/>
        <w:rPr>
          <w:rFonts w:cs="Calibri"/>
          <w:b/>
          <w:bCs/>
          <w:sz w:val="24"/>
          <w:szCs w:val="24"/>
          <w:u w:val="single"/>
        </w:rPr>
      </w:pPr>
    </w:p>
    <w:p w14:paraId="663765EF" w14:textId="77777777" w:rsidR="00BC77C6" w:rsidRDefault="00BC77C6" w:rsidP="00BC77C6">
      <w:pPr>
        <w:autoSpaceDE w:val="0"/>
        <w:autoSpaceDN w:val="0"/>
        <w:adjustRightInd w:val="0"/>
        <w:spacing w:line="360" w:lineRule="auto"/>
        <w:ind w:firstLine="1701"/>
        <w:jc w:val="both"/>
        <w:rPr>
          <w:rFonts w:cs="Calibri"/>
          <w:b/>
          <w:bCs/>
          <w:sz w:val="24"/>
          <w:szCs w:val="24"/>
        </w:rPr>
      </w:pPr>
      <w:r w:rsidRPr="00B73122">
        <w:rPr>
          <w:rFonts w:cs="Calibri"/>
          <w:b/>
          <w:bCs/>
          <w:sz w:val="24"/>
          <w:szCs w:val="24"/>
        </w:rPr>
        <w:t xml:space="preserve">Como visto, a função da CAIXA no PMCMV – Entidades, é disciplinada pela IN 12 de 2018 e não se confunde com o papel desempenhado pela Promovida no PMCMV faixa 1, Lei 11.977/2009, tão ressaltado na petição inicial, especialmente na jurisprudência invocada para justificar a responsabilidade </w:t>
      </w:r>
      <w:r>
        <w:rPr>
          <w:rFonts w:cs="Calibri"/>
          <w:b/>
          <w:bCs/>
          <w:sz w:val="24"/>
          <w:szCs w:val="24"/>
        </w:rPr>
        <w:t>atribuída</w:t>
      </w:r>
      <w:r w:rsidRPr="00B73122">
        <w:rPr>
          <w:rFonts w:cs="Calibri"/>
          <w:b/>
          <w:bCs/>
          <w:sz w:val="24"/>
          <w:szCs w:val="24"/>
        </w:rPr>
        <w:t xml:space="preserve"> à Contestante.</w:t>
      </w:r>
    </w:p>
    <w:p w14:paraId="764E755C" w14:textId="77777777" w:rsidR="00BC77C6" w:rsidRPr="00CC67DC" w:rsidRDefault="00BC77C6" w:rsidP="00BC77C6">
      <w:pPr>
        <w:spacing w:line="360" w:lineRule="auto"/>
        <w:jc w:val="both"/>
        <w:rPr>
          <w:rFonts w:cs="Calibri"/>
          <w:sz w:val="24"/>
          <w:szCs w:val="24"/>
        </w:rPr>
      </w:pPr>
    </w:p>
    <w:p w14:paraId="3AF94E12" w14:textId="77777777" w:rsidR="00BC77C6" w:rsidRDefault="00BC77C6" w:rsidP="00BC77C6">
      <w:pPr>
        <w:spacing w:line="360" w:lineRule="auto"/>
        <w:ind w:firstLine="1701"/>
        <w:jc w:val="both"/>
        <w:rPr>
          <w:rFonts w:cs="Calibri"/>
          <w:sz w:val="24"/>
          <w:szCs w:val="24"/>
        </w:rPr>
      </w:pPr>
      <w:r w:rsidRPr="00CC67DC">
        <w:rPr>
          <w:rFonts w:cs="Calibri"/>
          <w:sz w:val="24"/>
          <w:szCs w:val="24"/>
        </w:rPr>
        <w:t xml:space="preserve">Todavia, </w:t>
      </w:r>
      <w:r>
        <w:rPr>
          <w:rFonts w:cs="Calibri"/>
          <w:sz w:val="24"/>
          <w:szCs w:val="24"/>
        </w:rPr>
        <w:t>o pedido do Autor,</w:t>
      </w:r>
      <w:r w:rsidRPr="00CC67DC">
        <w:rPr>
          <w:rFonts w:cs="Calibri"/>
          <w:sz w:val="24"/>
          <w:szCs w:val="24"/>
        </w:rPr>
        <w:t xml:space="preserve"> diante da frustração do empreendimento contratado, ou seja, </w:t>
      </w:r>
      <w:r>
        <w:rPr>
          <w:rFonts w:cs="Calibri"/>
          <w:sz w:val="24"/>
          <w:szCs w:val="24"/>
        </w:rPr>
        <w:t>a condenação da CAIXA na obrigação</w:t>
      </w:r>
      <w:r w:rsidRPr="00CC67DC">
        <w:rPr>
          <w:rFonts w:cs="Calibri"/>
          <w:sz w:val="24"/>
          <w:szCs w:val="24"/>
        </w:rPr>
        <w:t xml:space="preserve"> de contratar outra </w:t>
      </w:r>
      <w:r>
        <w:rPr>
          <w:rFonts w:cs="Calibri"/>
          <w:sz w:val="24"/>
          <w:szCs w:val="24"/>
        </w:rPr>
        <w:t>c</w:t>
      </w:r>
      <w:r w:rsidRPr="00CC67DC">
        <w:rPr>
          <w:rFonts w:cs="Calibri"/>
          <w:sz w:val="24"/>
          <w:szCs w:val="24"/>
        </w:rPr>
        <w:t>onstrutora para dar continuidade às obras é uma questão de</w:t>
      </w:r>
      <w:r>
        <w:rPr>
          <w:rFonts w:cs="Calibri"/>
          <w:sz w:val="24"/>
          <w:szCs w:val="24"/>
        </w:rPr>
        <w:t xml:space="preserve"> </w:t>
      </w:r>
      <w:r>
        <w:rPr>
          <w:rFonts w:cs="Calibri"/>
          <w:b/>
          <w:bCs/>
          <w:sz w:val="24"/>
          <w:szCs w:val="24"/>
          <w:u w:val="single"/>
        </w:rPr>
        <w:t>definição</w:t>
      </w:r>
      <w:r w:rsidRPr="00D64672">
        <w:rPr>
          <w:rFonts w:cs="Calibri"/>
          <w:sz w:val="24"/>
          <w:szCs w:val="24"/>
        </w:rPr>
        <w:t xml:space="preserve"> de política pública de habitação</w:t>
      </w:r>
      <w:r w:rsidRPr="00CC67DC">
        <w:rPr>
          <w:rFonts w:cs="Calibri"/>
          <w:sz w:val="24"/>
          <w:szCs w:val="24"/>
        </w:rPr>
        <w:t>,</w:t>
      </w:r>
      <w:r>
        <w:rPr>
          <w:rFonts w:cs="Calibri"/>
          <w:sz w:val="24"/>
          <w:szCs w:val="24"/>
        </w:rPr>
        <w:t xml:space="preserve"> e </w:t>
      </w:r>
      <w:r w:rsidRPr="00D64672">
        <w:rPr>
          <w:rFonts w:cs="Calibri"/>
          <w:b/>
          <w:bCs/>
          <w:sz w:val="24"/>
          <w:szCs w:val="24"/>
          <w:u w:val="single"/>
        </w:rPr>
        <w:t>não mera execução</w:t>
      </w:r>
      <w:r>
        <w:rPr>
          <w:rFonts w:cs="Calibri"/>
          <w:sz w:val="24"/>
          <w:szCs w:val="24"/>
        </w:rPr>
        <w:t xml:space="preserve">. </w:t>
      </w:r>
    </w:p>
    <w:p w14:paraId="0934E7ED" w14:textId="77777777" w:rsidR="00BC77C6" w:rsidRDefault="00BC77C6" w:rsidP="00BC77C6">
      <w:pPr>
        <w:spacing w:line="360" w:lineRule="auto"/>
        <w:ind w:firstLine="1701"/>
        <w:jc w:val="both"/>
        <w:rPr>
          <w:rFonts w:cs="Calibri"/>
          <w:sz w:val="24"/>
          <w:szCs w:val="24"/>
        </w:rPr>
      </w:pPr>
    </w:p>
    <w:p w14:paraId="4DB22B57" w14:textId="77777777" w:rsidR="00BC77C6" w:rsidRPr="004D73D7" w:rsidRDefault="00BC77C6" w:rsidP="00BC77C6">
      <w:pPr>
        <w:spacing w:line="360" w:lineRule="auto"/>
        <w:ind w:firstLine="1701"/>
        <w:jc w:val="both"/>
        <w:rPr>
          <w:rFonts w:cs="Calibri"/>
          <w:b/>
          <w:bCs/>
          <w:sz w:val="24"/>
          <w:szCs w:val="24"/>
        </w:rPr>
      </w:pPr>
      <w:r w:rsidRPr="004D73D7">
        <w:rPr>
          <w:rFonts w:cs="Calibri"/>
          <w:b/>
          <w:bCs/>
          <w:sz w:val="24"/>
          <w:szCs w:val="24"/>
        </w:rPr>
        <w:t>Isso porque a legislação do programa não prevê essa atribuição da CAIXA. Não se trata de dar continuidade a uma proposta selecionada pelo MDR porque o contrato de produção do empreendimento foi rescindido. Trata-se de iniciar nova proposta para um empreendimento frustrado. Portanto, a decisão é do Ministério Gestor do Programa.</w:t>
      </w:r>
    </w:p>
    <w:p w14:paraId="473583F1" w14:textId="77777777" w:rsidR="00BC77C6" w:rsidRDefault="00BC77C6" w:rsidP="00BC77C6">
      <w:pPr>
        <w:spacing w:line="360" w:lineRule="auto"/>
        <w:ind w:firstLine="1701"/>
        <w:jc w:val="both"/>
        <w:rPr>
          <w:rFonts w:cs="Calibri"/>
          <w:sz w:val="24"/>
          <w:szCs w:val="24"/>
        </w:rPr>
      </w:pPr>
    </w:p>
    <w:p w14:paraId="6B139E7F" w14:textId="77777777" w:rsidR="00BC77C6" w:rsidRPr="00CC67DC" w:rsidRDefault="00BC77C6" w:rsidP="00BC77C6">
      <w:pPr>
        <w:spacing w:line="360" w:lineRule="auto"/>
        <w:ind w:firstLine="1701"/>
        <w:jc w:val="both"/>
        <w:rPr>
          <w:rFonts w:cs="Calibri"/>
          <w:sz w:val="24"/>
          <w:szCs w:val="24"/>
        </w:rPr>
      </w:pPr>
      <w:r>
        <w:rPr>
          <w:rFonts w:cs="Calibri"/>
          <w:sz w:val="24"/>
          <w:szCs w:val="24"/>
        </w:rPr>
        <w:t>Dessa forma,</w:t>
      </w:r>
      <w:r w:rsidRPr="00CC67DC">
        <w:rPr>
          <w:rFonts w:cs="Calibri"/>
          <w:sz w:val="24"/>
          <w:szCs w:val="24"/>
        </w:rPr>
        <w:t xml:space="preserve"> cabe ao Poder Executivo gestor do programa</w:t>
      </w:r>
      <w:r>
        <w:rPr>
          <w:rFonts w:cs="Calibri"/>
          <w:sz w:val="24"/>
          <w:szCs w:val="24"/>
        </w:rPr>
        <w:t xml:space="preserve"> </w:t>
      </w:r>
      <w:r w:rsidRPr="00D64672">
        <w:rPr>
          <w:rFonts w:cs="Calibri"/>
          <w:b/>
          <w:bCs/>
          <w:sz w:val="24"/>
          <w:szCs w:val="24"/>
        </w:rPr>
        <w:t>decidir o destino do recurso</w:t>
      </w:r>
      <w:r w:rsidRPr="00CC67DC">
        <w:rPr>
          <w:rFonts w:cs="Calibri"/>
          <w:sz w:val="24"/>
          <w:szCs w:val="24"/>
        </w:rPr>
        <w:t xml:space="preserve">, e não à CAIXA, que atua apenas na condição de </w:t>
      </w:r>
      <w:r w:rsidRPr="00E749E4">
        <w:rPr>
          <w:rFonts w:cs="Calibri"/>
          <w:b/>
          <w:bCs/>
          <w:sz w:val="24"/>
          <w:szCs w:val="24"/>
        </w:rPr>
        <w:t>agente operacional dos recursos</w:t>
      </w:r>
      <w:r>
        <w:rPr>
          <w:rFonts w:cs="Calibri"/>
          <w:b/>
          <w:bCs/>
          <w:sz w:val="24"/>
          <w:szCs w:val="24"/>
        </w:rPr>
        <w:t>, com função limitada de “</w:t>
      </w:r>
      <w:r w:rsidRPr="002C2F40">
        <w:rPr>
          <w:rFonts w:cs="Calibri"/>
          <w:b/>
          <w:bCs/>
          <w:sz w:val="24"/>
          <w:szCs w:val="24"/>
        </w:rPr>
        <w:t>encaminhar providências para tratamento de empreendimentos frustrados</w:t>
      </w:r>
      <w:r>
        <w:rPr>
          <w:rFonts w:cs="Calibri"/>
          <w:b/>
          <w:bCs/>
          <w:sz w:val="24"/>
          <w:szCs w:val="24"/>
        </w:rPr>
        <w:t>”, o que a Promovida cumpriu</w:t>
      </w:r>
      <w:r w:rsidRPr="00CC67DC">
        <w:rPr>
          <w:rFonts w:cs="Calibri"/>
          <w:sz w:val="24"/>
          <w:szCs w:val="24"/>
        </w:rPr>
        <w:t>.</w:t>
      </w:r>
    </w:p>
    <w:p w14:paraId="6AB46831" w14:textId="77777777" w:rsidR="00BC77C6" w:rsidRPr="00CC67DC" w:rsidRDefault="00BC77C6" w:rsidP="00BC77C6">
      <w:pPr>
        <w:spacing w:line="360" w:lineRule="auto"/>
        <w:ind w:firstLine="1701"/>
        <w:jc w:val="both"/>
        <w:rPr>
          <w:rFonts w:cs="Calibri"/>
          <w:sz w:val="24"/>
          <w:szCs w:val="24"/>
        </w:rPr>
      </w:pPr>
    </w:p>
    <w:p w14:paraId="260E1BF5" w14:textId="77777777" w:rsidR="00BC77C6" w:rsidRPr="00E749E4" w:rsidRDefault="00BC77C6" w:rsidP="00BC77C6">
      <w:pPr>
        <w:spacing w:line="360" w:lineRule="auto"/>
        <w:ind w:firstLine="1701"/>
        <w:jc w:val="both"/>
        <w:rPr>
          <w:rFonts w:cs="Calibri"/>
          <w:b/>
          <w:bCs/>
          <w:sz w:val="24"/>
          <w:szCs w:val="24"/>
        </w:rPr>
      </w:pPr>
      <w:r w:rsidRPr="00E749E4">
        <w:rPr>
          <w:rFonts w:cs="Calibri"/>
          <w:b/>
          <w:bCs/>
          <w:sz w:val="24"/>
          <w:szCs w:val="24"/>
        </w:rPr>
        <w:t xml:space="preserve">Por consequência, é a </w:t>
      </w:r>
      <w:r w:rsidRPr="002C2F40">
        <w:rPr>
          <w:rFonts w:cs="Calibri"/>
          <w:b/>
          <w:bCs/>
          <w:sz w:val="24"/>
          <w:szCs w:val="24"/>
          <w:u w:val="single"/>
        </w:rPr>
        <w:t>União</w:t>
      </w:r>
      <w:r w:rsidRPr="00E749E4">
        <w:rPr>
          <w:rFonts w:cs="Calibri"/>
          <w:b/>
          <w:bCs/>
          <w:sz w:val="24"/>
          <w:szCs w:val="24"/>
        </w:rPr>
        <w:t xml:space="preserve"> (que no caso, atua através do MDR) quem responde pela </w:t>
      </w:r>
      <w:r>
        <w:rPr>
          <w:rFonts w:cs="Calibri"/>
          <w:b/>
          <w:bCs/>
          <w:sz w:val="24"/>
          <w:szCs w:val="24"/>
        </w:rPr>
        <w:t xml:space="preserve">implantação e </w:t>
      </w:r>
      <w:r w:rsidRPr="00E749E4">
        <w:rPr>
          <w:rFonts w:cs="Calibri"/>
          <w:b/>
          <w:bCs/>
          <w:sz w:val="24"/>
          <w:szCs w:val="24"/>
        </w:rPr>
        <w:t>efetivação da política pública</w:t>
      </w:r>
      <w:r>
        <w:rPr>
          <w:rFonts w:cs="Calibri"/>
          <w:b/>
          <w:bCs/>
          <w:sz w:val="24"/>
          <w:szCs w:val="24"/>
        </w:rPr>
        <w:t xml:space="preserve"> em</w:t>
      </w:r>
      <w:r w:rsidRPr="00E749E4">
        <w:rPr>
          <w:rFonts w:cs="Calibri"/>
          <w:b/>
          <w:bCs/>
          <w:sz w:val="24"/>
          <w:szCs w:val="24"/>
        </w:rPr>
        <w:t xml:space="preserve"> que consiste o pedido, </w:t>
      </w:r>
      <w:r>
        <w:rPr>
          <w:rFonts w:cs="Calibri"/>
          <w:b/>
          <w:bCs/>
          <w:sz w:val="24"/>
          <w:szCs w:val="24"/>
        </w:rPr>
        <w:t>inclusive,</w:t>
      </w:r>
      <w:r w:rsidRPr="00E749E4">
        <w:rPr>
          <w:rFonts w:cs="Calibri"/>
          <w:b/>
          <w:bCs/>
          <w:sz w:val="24"/>
          <w:szCs w:val="24"/>
        </w:rPr>
        <w:t xml:space="preserve"> decidir se prosseguirá com as obras</w:t>
      </w:r>
      <w:r>
        <w:rPr>
          <w:rFonts w:cs="Calibri"/>
          <w:b/>
          <w:bCs/>
          <w:sz w:val="24"/>
          <w:szCs w:val="24"/>
        </w:rPr>
        <w:t xml:space="preserve"> e, caso positivo, qual é o meio que utilizará para tanto, considerando a regulamentação do Programa.</w:t>
      </w:r>
    </w:p>
    <w:p w14:paraId="06535F06" w14:textId="77777777" w:rsidR="00BC77C6" w:rsidRDefault="00BC77C6" w:rsidP="00BC77C6">
      <w:pPr>
        <w:spacing w:line="360" w:lineRule="auto"/>
        <w:ind w:firstLine="1701"/>
        <w:jc w:val="both"/>
        <w:rPr>
          <w:rFonts w:cs="Calibri"/>
          <w:sz w:val="24"/>
          <w:szCs w:val="24"/>
        </w:rPr>
      </w:pPr>
    </w:p>
    <w:p w14:paraId="47711490" w14:textId="77777777" w:rsidR="00BC77C6" w:rsidRDefault="00BC77C6" w:rsidP="00BC77C6">
      <w:pPr>
        <w:spacing w:line="360" w:lineRule="auto"/>
        <w:ind w:firstLine="1701"/>
        <w:jc w:val="both"/>
        <w:rPr>
          <w:rFonts w:cs="Calibri"/>
          <w:bCs/>
          <w:sz w:val="24"/>
          <w:szCs w:val="24"/>
        </w:rPr>
      </w:pPr>
      <w:r w:rsidRPr="00FD4F22">
        <w:rPr>
          <w:rFonts w:cs="Calibri"/>
          <w:b/>
          <w:sz w:val="24"/>
          <w:szCs w:val="24"/>
        </w:rPr>
        <w:t>Repita-se, o PMCMV-Entidades é disciplinado em legislação específica, que definiu os limites das competências de cada ente. Da mesma forma que não cabe à CAIXA “decidir” pela seleção inicial, não cabe à Caixa decidir que, diante dos inadimplementos contratuais graves ou frustração do empreendimento, haja substituição da proposta contratada, porque ela não tem atribuição legal para isso</w:t>
      </w:r>
      <w:r>
        <w:rPr>
          <w:rFonts w:cs="Calibri"/>
          <w:bCs/>
          <w:sz w:val="24"/>
          <w:szCs w:val="24"/>
        </w:rPr>
        <w:t xml:space="preserve">. </w:t>
      </w:r>
    </w:p>
    <w:p w14:paraId="582EB8AB" w14:textId="77777777" w:rsidR="00BC77C6" w:rsidRPr="00CC67DC" w:rsidRDefault="00BC77C6" w:rsidP="00BC77C6">
      <w:pPr>
        <w:spacing w:line="360" w:lineRule="auto"/>
        <w:jc w:val="both"/>
        <w:rPr>
          <w:rFonts w:cs="Calibri"/>
          <w:bCs/>
          <w:sz w:val="24"/>
          <w:szCs w:val="24"/>
        </w:rPr>
      </w:pPr>
    </w:p>
    <w:p w14:paraId="136F6897" w14:textId="77777777" w:rsidR="00BC77C6" w:rsidRPr="00FD4F22" w:rsidRDefault="00BC77C6" w:rsidP="00BC77C6">
      <w:pPr>
        <w:spacing w:line="360" w:lineRule="auto"/>
        <w:ind w:firstLine="1701"/>
        <w:jc w:val="both"/>
        <w:rPr>
          <w:rFonts w:cs="Calibri"/>
          <w:b/>
          <w:sz w:val="24"/>
          <w:szCs w:val="24"/>
        </w:rPr>
      </w:pPr>
      <w:r w:rsidRPr="00FD4F22">
        <w:rPr>
          <w:rFonts w:cs="Calibri"/>
          <w:b/>
          <w:sz w:val="24"/>
          <w:szCs w:val="24"/>
        </w:rPr>
        <w:t xml:space="preserve">Ademais, na situação de inadimplemento contratual, a solução prevista é a rescisão do contrato e a comunicação da frustração do empreendimento. Todavia, mesmo rescindido o contrato, a Lei não confere liberalidade à instituição financeira para ir além e contratar outra construtora para finalizar obra inacabada. </w:t>
      </w:r>
    </w:p>
    <w:p w14:paraId="340C34FC" w14:textId="77777777" w:rsidR="00BC77C6" w:rsidRDefault="00BC77C6" w:rsidP="00BC77C6">
      <w:pPr>
        <w:spacing w:line="360" w:lineRule="auto"/>
        <w:ind w:firstLine="1701"/>
        <w:jc w:val="both"/>
        <w:rPr>
          <w:rFonts w:cs="Calibri"/>
          <w:bCs/>
          <w:sz w:val="24"/>
          <w:szCs w:val="24"/>
        </w:rPr>
      </w:pPr>
    </w:p>
    <w:p w14:paraId="53597000" w14:textId="77777777" w:rsidR="00BC77C6" w:rsidRPr="00560814" w:rsidRDefault="00BC77C6" w:rsidP="00BC77C6">
      <w:pPr>
        <w:spacing w:line="360" w:lineRule="auto"/>
        <w:ind w:firstLine="1701"/>
        <w:jc w:val="both"/>
        <w:rPr>
          <w:rFonts w:cs="Calibri"/>
          <w:b/>
          <w:sz w:val="24"/>
          <w:szCs w:val="24"/>
        </w:rPr>
      </w:pPr>
      <w:r w:rsidRPr="00560814">
        <w:rPr>
          <w:rFonts w:cs="Calibri"/>
          <w:b/>
          <w:sz w:val="24"/>
          <w:szCs w:val="24"/>
        </w:rPr>
        <w:t xml:space="preserve">Logo, mesmo considerando a nobreza do objetivo, garantia do direito de habitação </w:t>
      </w:r>
      <w:r>
        <w:rPr>
          <w:rFonts w:cs="Calibri"/>
          <w:b/>
          <w:sz w:val="24"/>
          <w:szCs w:val="24"/>
        </w:rPr>
        <w:t>previsto no art. 6º da CF</w:t>
      </w:r>
      <w:r w:rsidRPr="00560814">
        <w:rPr>
          <w:rFonts w:cs="Calibri"/>
          <w:b/>
          <w:sz w:val="24"/>
          <w:szCs w:val="24"/>
        </w:rPr>
        <w:t xml:space="preserve">, o pedido deduzido contra a CAIXA é ilegal. Deve ser destacado que o “mandato” recebido da União é limitado às atribuições de gestão do recurso e canal de envio dos documentos e propostas ao MDR. </w:t>
      </w:r>
    </w:p>
    <w:p w14:paraId="292AA2A4" w14:textId="77777777" w:rsidR="00BC77C6" w:rsidRDefault="00BC77C6" w:rsidP="00BC77C6">
      <w:pPr>
        <w:spacing w:line="360" w:lineRule="auto"/>
        <w:ind w:firstLine="1701"/>
        <w:jc w:val="both"/>
        <w:rPr>
          <w:rFonts w:cs="Calibri"/>
          <w:bCs/>
          <w:sz w:val="24"/>
          <w:szCs w:val="24"/>
        </w:rPr>
      </w:pPr>
    </w:p>
    <w:p w14:paraId="63AE43F8" w14:textId="77777777" w:rsidR="00BC77C6" w:rsidRDefault="00BC77C6" w:rsidP="00BC77C6">
      <w:pPr>
        <w:spacing w:line="360" w:lineRule="auto"/>
        <w:ind w:firstLine="1701"/>
        <w:jc w:val="both"/>
        <w:rPr>
          <w:rFonts w:cs="Calibri"/>
          <w:bCs/>
          <w:sz w:val="24"/>
          <w:szCs w:val="24"/>
        </w:rPr>
      </w:pPr>
      <w:r>
        <w:rPr>
          <w:rFonts w:cs="Calibri"/>
          <w:bCs/>
          <w:sz w:val="24"/>
          <w:szCs w:val="24"/>
        </w:rPr>
        <w:t>Além disso</w:t>
      </w:r>
      <w:r w:rsidRPr="00CC67DC">
        <w:rPr>
          <w:rFonts w:cs="Calibri"/>
          <w:bCs/>
          <w:sz w:val="24"/>
          <w:szCs w:val="24"/>
        </w:rPr>
        <w:t xml:space="preserve">, não obstante seja inegável que as famílias selecionadas </w:t>
      </w:r>
      <w:r>
        <w:rPr>
          <w:rFonts w:cs="Calibri"/>
          <w:bCs/>
          <w:sz w:val="24"/>
          <w:szCs w:val="24"/>
        </w:rPr>
        <w:t xml:space="preserve">sofreram </w:t>
      </w:r>
      <w:r w:rsidRPr="00CC67DC">
        <w:rPr>
          <w:rFonts w:cs="Calibri"/>
          <w:bCs/>
          <w:sz w:val="24"/>
          <w:szCs w:val="24"/>
        </w:rPr>
        <w:t>frustração da expectativa de um direito, não cabe a imputação desse dano à CAIXA, que age apenas nos limites de suas atribuições, dentro do programa.</w:t>
      </w:r>
    </w:p>
    <w:p w14:paraId="2F726B7E" w14:textId="77777777" w:rsidR="00BC77C6" w:rsidRDefault="00BC77C6" w:rsidP="00BC77C6">
      <w:pPr>
        <w:spacing w:line="360" w:lineRule="auto"/>
        <w:ind w:firstLine="1701"/>
        <w:jc w:val="both"/>
        <w:rPr>
          <w:rFonts w:cs="Calibri"/>
          <w:bCs/>
          <w:sz w:val="24"/>
          <w:szCs w:val="24"/>
        </w:rPr>
      </w:pPr>
    </w:p>
    <w:p w14:paraId="42BB6A97" w14:textId="6853A5EF" w:rsidR="00BC77C6" w:rsidRDefault="00BC77C6" w:rsidP="00BC77C6">
      <w:pPr>
        <w:spacing w:line="360" w:lineRule="auto"/>
        <w:ind w:firstLine="1701"/>
        <w:jc w:val="both"/>
        <w:rPr>
          <w:rFonts w:eastAsia="Times New Roman" w:cs="Calibri"/>
          <w:b/>
          <w:sz w:val="24"/>
          <w:szCs w:val="24"/>
          <w:lang w:eastAsia="pt-BR"/>
        </w:rPr>
      </w:pPr>
      <w:r w:rsidRPr="00032CB2">
        <w:rPr>
          <w:rFonts w:cs="Calibri"/>
          <w:b/>
          <w:sz w:val="24"/>
          <w:szCs w:val="24"/>
        </w:rPr>
        <w:t>Consequentemente, a CAIXA é parte ilegítima para responder pelo pedido d</w:t>
      </w:r>
      <w:r>
        <w:rPr>
          <w:rFonts w:cs="Calibri"/>
          <w:b/>
          <w:sz w:val="24"/>
          <w:szCs w:val="24"/>
        </w:rPr>
        <w:t>e suposto dano material/moral</w:t>
      </w:r>
      <w:r w:rsidR="009B2A7D">
        <w:rPr>
          <w:rFonts w:cs="Calibri"/>
          <w:b/>
          <w:sz w:val="24"/>
          <w:szCs w:val="24"/>
        </w:rPr>
        <w:t>,</w:t>
      </w:r>
      <w:r>
        <w:rPr>
          <w:rFonts w:cs="Calibri"/>
          <w:b/>
          <w:sz w:val="24"/>
          <w:szCs w:val="24"/>
        </w:rPr>
        <w:t xml:space="preserve"> </w:t>
      </w:r>
      <w:r w:rsidRPr="00032CB2">
        <w:rPr>
          <w:rFonts w:cs="Calibri"/>
          <w:b/>
          <w:sz w:val="24"/>
          <w:szCs w:val="24"/>
        </w:rPr>
        <w:t>motivo por que requer a extinção do processo sem resolução de mérito em relação à Promovida e indica desde já a União como parte legítima para responder o pleito, nos termos do art. 339 do CPC.</w:t>
      </w:r>
    </w:p>
    <w:p w14:paraId="7FA97F95" w14:textId="77777777" w:rsidR="009B2A7D" w:rsidRDefault="009B2A7D" w:rsidP="00BC77C6">
      <w:pPr>
        <w:spacing w:line="360" w:lineRule="auto"/>
        <w:ind w:firstLine="1701"/>
        <w:jc w:val="both"/>
        <w:rPr>
          <w:rFonts w:eastAsia="Times New Roman" w:cs="Calibri"/>
          <w:b/>
          <w:sz w:val="24"/>
          <w:szCs w:val="24"/>
          <w:lang w:eastAsia="pt-BR"/>
        </w:rPr>
      </w:pPr>
    </w:p>
    <w:p w14:paraId="55E58220" w14:textId="77777777" w:rsidR="009B2A7D" w:rsidRDefault="009B2A7D" w:rsidP="00BC77C6">
      <w:pPr>
        <w:spacing w:line="360" w:lineRule="auto"/>
        <w:ind w:firstLine="1701"/>
        <w:jc w:val="both"/>
        <w:rPr>
          <w:rFonts w:eastAsia="Times New Roman" w:cs="Calibri"/>
          <w:b/>
          <w:sz w:val="24"/>
          <w:szCs w:val="24"/>
          <w:lang w:eastAsia="pt-BR"/>
        </w:rPr>
      </w:pPr>
    </w:p>
    <w:p w14:paraId="21F8C21D" w14:textId="24907BAE" w:rsidR="00BC77C6" w:rsidRDefault="00BC77C6" w:rsidP="00BC77C6">
      <w:pPr>
        <w:spacing w:line="360" w:lineRule="auto"/>
        <w:ind w:firstLine="1701"/>
        <w:jc w:val="both"/>
        <w:rPr>
          <w:rFonts w:eastAsia="Times New Roman" w:cs="Calibri"/>
          <w:b/>
          <w:sz w:val="24"/>
          <w:szCs w:val="24"/>
          <w:lang w:eastAsia="pt-BR"/>
        </w:rPr>
      </w:pPr>
      <w:r>
        <w:rPr>
          <w:rFonts w:eastAsia="Times New Roman" w:cs="Calibri"/>
          <w:b/>
          <w:sz w:val="24"/>
          <w:szCs w:val="24"/>
          <w:lang w:eastAsia="pt-BR"/>
        </w:rPr>
        <w:t>DO MÉRITO</w:t>
      </w:r>
    </w:p>
    <w:p w14:paraId="46B37792" w14:textId="77777777" w:rsidR="00BC77C6" w:rsidRDefault="00BC77C6" w:rsidP="00BC77C6">
      <w:pPr>
        <w:spacing w:line="360" w:lineRule="auto"/>
        <w:ind w:firstLine="1701"/>
        <w:jc w:val="both"/>
        <w:rPr>
          <w:rFonts w:eastAsia="Times New Roman" w:cs="Calibri"/>
          <w:b/>
          <w:sz w:val="24"/>
          <w:szCs w:val="24"/>
          <w:lang w:eastAsia="pt-BR"/>
        </w:rPr>
      </w:pPr>
    </w:p>
    <w:p w14:paraId="69B2A454" w14:textId="6D16F967" w:rsidR="00BC77C6" w:rsidRDefault="00BC77C6" w:rsidP="00BC77C6">
      <w:pPr>
        <w:spacing w:line="360" w:lineRule="auto"/>
        <w:jc w:val="both"/>
        <w:rPr>
          <w:rFonts w:cs="Calibri"/>
        </w:rPr>
      </w:pPr>
      <w:r>
        <w:rPr>
          <w:rFonts w:eastAsia="Times New Roman" w:cs="Calibri"/>
          <w:b/>
          <w:sz w:val="24"/>
          <w:szCs w:val="24"/>
          <w:lang w:eastAsia="pt-BR"/>
        </w:rPr>
        <w:t xml:space="preserve">- DOS FATOS OCORRIDOS DURANTE A OBRA </w:t>
      </w:r>
    </w:p>
    <w:p w14:paraId="2AF4FBB9" w14:textId="77777777" w:rsidR="00BC77C6" w:rsidRDefault="00BC77C6" w:rsidP="00BC77C6">
      <w:pPr>
        <w:pStyle w:val="NormalWeb"/>
        <w:spacing w:line="360" w:lineRule="auto"/>
        <w:ind w:firstLine="1985"/>
        <w:jc w:val="both"/>
        <w:rPr>
          <w:rFonts w:ascii="Calibri" w:hAnsi="Calibri" w:cs="Calibri"/>
        </w:rPr>
      </w:pPr>
    </w:p>
    <w:p w14:paraId="57F8FE0D" w14:textId="2B2609B3" w:rsidR="00BC77C6" w:rsidRDefault="00BC77C6" w:rsidP="00BC77C6">
      <w:pPr>
        <w:pStyle w:val="NormalWeb"/>
        <w:spacing w:line="360" w:lineRule="auto"/>
        <w:ind w:firstLine="1985"/>
        <w:jc w:val="both"/>
        <w:rPr>
          <w:rFonts w:ascii="Calibri" w:hAnsi="Calibri" w:cs="Calibri"/>
        </w:rPr>
      </w:pPr>
      <w:r>
        <w:rPr>
          <w:rFonts w:ascii="Calibri" w:hAnsi="Calibri" w:cs="Calibri"/>
        </w:rPr>
        <w:t>No mérito, o autor atribui outra responsabilidade à CAIXA: ter sido omissa na fiscalização da obra e, portanto, ter concorrido para atraso de obra.</w:t>
      </w:r>
    </w:p>
    <w:p w14:paraId="7CED7EE9" w14:textId="77777777" w:rsidR="009B2A7D" w:rsidRDefault="009B2A7D" w:rsidP="00BC77C6">
      <w:pPr>
        <w:pStyle w:val="NormalWeb"/>
        <w:spacing w:line="360" w:lineRule="auto"/>
        <w:ind w:firstLine="1985"/>
        <w:jc w:val="both"/>
        <w:rPr>
          <w:rFonts w:ascii="Calibri" w:hAnsi="Calibri" w:cs="Calibri"/>
        </w:rPr>
      </w:pPr>
    </w:p>
    <w:p w14:paraId="04F21C0D" w14:textId="5F5EDC32" w:rsidR="009B2A7D" w:rsidRDefault="009B2A7D" w:rsidP="00BC77C6">
      <w:pPr>
        <w:pStyle w:val="NormalWeb"/>
        <w:spacing w:line="360" w:lineRule="auto"/>
        <w:ind w:firstLine="1985"/>
        <w:jc w:val="both"/>
        <w:rPr>
          <w:rFonts w:ascii="Calibri" w:hAnsi="Calibri" w:cs="Calibri"/>
        </w:rPr>
      </w:pPr>
      <w:r>
        <w:rPr>
          <w:rFonts w:ascii="Calibri" w:hAnsi="Calibri" w:cs="Calibri"/>
        </w:rPr>
        <w:t>Inicialmente é curial destacar que NÃO HOUVE ATRASO DA OBRA, sobretudo pelo contrato ter sido celebrado em 17.02.2012 para ser concluído em até 18 meses. Considerando que o HABITE-SE foi expedido em 08.08.2013, temos que o imóvel foi entregue a modo e contento!</w:t>
      </w:r>
    </w:p>
    <w:p w14:paraId="06CED05D" w14:textId="77777777" w:rsidR="009B2A7D" w:rsidRDefault="009B2A7D" w:rsidP="00690CB6">
      <w:pPr>
        <w:pStyle w:val="NormalWeb"/>
        <w:spacing w:line="360" w:lineRule="auto"/>
        <w:jc w:val="both"/>
        <w:rPr>
          <w:rFonts w:ascii="Calibri" w:hAnsi="Calibri" w:cs="Calibri"/>
        </w:rPr>
      </w:pPr>
    </w:p>
    <w:p w14:paraId="63814AF1" w14:textId="5A9D506F" w:rsidR="00690CB6" w:rsidRDefault="00690CB6" w:rsidP="00690CB6">
      <w:pPr>
        <w:pStyle w:val="NormalWeb"/>
        <w:spacing w:line="360" w:lineRule="auto"/>
        <w:jc w:val="both"/>
        <w:rPr>
          <w:rFonts w:ascii="Calibri" w:hAnsi="Calibri" w:cs="Calibri"/>
        </w:rPr>
      </w:pPr>
      <w:r>
        <w:rPr>
          <w:rFonts w:ascii="Calibri" w:hAnsi="Calibri" w:cs="Calibri"/>
          <w:noProof/>
        </w:rPr>
        <w:lastRenderedPageBreak/>
        <w:drawing>
          <wp:inline distT="0" distB="0" distL="0" distR="0" wp14:anchorId="0FA83816" wp14:editId="5DB096FD">
            <wp:extent cx="3733800" cy="5772150"/>
            <wp:effectExtent l="0" t="0" r="0" b="0"/>
            <wp:docPr id="15307654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0" cy="5772150"/>
                    </a:xfrm>
                    <a:prstGeom prst="rect">
                      <a:avLst/>
                    </a:prstGeom>
                    <a:noFill/>
                    <a:ln>
                      <a:noFill/>
                    </a:ln>
                  </pic:spPr>
                </pic:pic>
              </a:graphicData>
            </a:graphic>
          </wp:inline>
        </w:drawing>
      </w:r>
    </w:p>
    <w:p w14:paraId="19DCA7CB" w14:textId="77777777" w:rsidR="00690CB6" w:rsidRDefault="00690CB6" w:rsidP="00690CB6">
      <w:pPr>
        <w:pStyle w:val="NormalWeb"/>
        <w:spacing w:line="360" w:lineRule="auto"/>
        <w:jc w:val="both"/>
        <w:rPr>
          <w:rFonts w:ascii="Calibri" w:hAnsi="Calibri" w:cs="Calibri"/>
        </w:rPr>
      </w:pPr>
    </w:p>
    <w:p w14:paraId="0863CB69" w14:textId="77777777" w:rsidR="00690CB6" w:rsidRDefault="00690CB6" w:rsidP="00690CB6">
      <w:pPr>
        <w:pStyle w:val="NormalWeb"/>
        <w:spacing w:line="360" w:lineRule="auto"/>
        <w:jc w:val="both"/>
        <w:rPr>
          <w:rFonts w:ascii="Calibri" w:hAnsi="Calibri" w:cs="Calibri"/>
        </w:rPr>
      </w:pPr>
    </w:p>
    <w:p w14:paraId="1FE76304" w14:textId="0134CBB7" w:rsidR="009B2A7D" w:rsidRDefault="009B2A7D" w:rsidP="00BC77C6">
      <w:pPr>
        <w:pStyle w:val="NormalWeb"/>
        <w:spacing w:line="360" w:lineRule="auto"/>
        <w:ind w:firstLine="1985"/>
        <w:jc w:val="both"/>
        <w:rPr>
          <w:rFonts w:ascii="Calibri" w:hAnsi="Calibri" w:cs="Calibri"/>
        </w:rPr>
      </w:pPr>
      <w:r>
        <w:rPr>
          <w:rFonts w:ascii="Calibri" w:hAnsi="Calibri" w:cs="Calibri"/>
        </w:rPr>
        <w:t xml:space="preserve">Outrossim, ainda que tivesse ocorrido algum atraso, temos que </w:t>
      </w:r>
      <w:proofErr w:type="gramStart"/>
      <w:r>
        <w:rPr>
          <w:rFonts w:ascii="Calibri" w:hAnsi="Calibri" w:cs="Calibri"/>
        </w:rPr>
        <w:t>o mesmo</w:t>
      </w:r>
      <w:proofErr w:type="gramEnd"/>
      <w:r>
        <w:rPr>
          <w:rFonts w:ascii="Calibri" w:hAnsi="Calibri" w:cs="Calibri"/>
        </w:rPr>
        <w:t xml:space="preserve"> é justificável pela ocorrência de inquestionável </w:t>
      </w:r>
      <w:r w:rsidR="00690CB6">
        <w:rPr>
          <w:rFonts w:ascii="Calibri" w:hAnsi="Calibri" w:cs="Calibri"/>
        </w:rPr>
        <w:t>CAUSA MAIOR, a saber um forte vendaval que danificou a grande maioria das unidades, justificando legalmente caso de fato tivesse ocorrido algum atraso, senão vejamos a comunicação há época:</w:t>
      </w:r>
    </w:p>
    <w:p w14:paraId="4C85348A" w14:textId="77777777" w:rsidR="00690CB6" w:rsidRDefault="00690CB6" w:rsidP="00690CB6">
      <w:pPr>
        <w:pStyle w:val="NormalWeb"/>
        <w:spacing w:line="360" w:lineRule="auto"/>
        <w:jc w:val="both"/>
        <w:rPr>
          <w:rFonts w:ascii="Calibri" w:hAnsi="Calibri" w:cs="Calibri"/>
        </w:rPr>
      </w:pPr>
    </w:p>
    <w:p w14:paraId="273BEE74" w14:textId="61D2BC75" w:rsidR="00690CB6" w:rsidRDefault="00690CB6" w:rsidP="00690CB6">
      <w:pPr>
        <w:pStyle w:val="NormalWeb"/>
        <w:spacing w:line="360" w:lineRule="auto"/>
        <w:jc w:val="both"/>
        <w:rPr>
          <w:rFonts w:ascii="Calibri" w:hAnsi="Calibri" w:cs="Calibri"/>
        </w:rPr>
      </w:pPr>
      <w:r>
        <w:rPr>
          <w:rFonts w:ascii="Calibri" w:hAnsi="Calibri" w:cs="Calibri"/>
          <w:noProof/>
        </w:rPr>
        <w:lastRenderedPageBreak/>
        <w:drawing>
          <wp:inline distT="0" distB="0" distL="0" distR="0" wp14:anchorId="4CE78B6B" wp14:editId="26B3FBE1">
            <wp:extent cx="6115050" cy="9429750"/>
            <wp:effectExtent l="0" t="0" r="0" b="0"/>
            <wp:docPr id="33875173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5050" cy="9429750"/>
                    </a:xfrm>
                    <a:prstGeom prst="rect">
                      <a:avLst/>
                    </a:prstGeom>
                    <a:noFill/>
                    <a:ln>
                      <a:noFill/>
                    </a:ln>
                  </pic:spPr>
                </pic:pic>
              </a:graphicData>
            </a:graphic>
          </wp:inline>
        </w:drawing>
      </w:r>
    </w:p>
    <w:p w14:paraId="0B419A95" w14:textId="77777777" w:rsidR="00690CB6" w:rsidRDefault="00690CB6" w:rsidP="00690CB6">
      <w:pPr>
        <w:pStyle w:val="NormalWeb"/>
        <w:spacing w:line="360" w:lineRule="auto"/>
        <w:jc w:val="both"/>
        <w:rPr>
          <w:rFonts w:ascii="Calibri" w:hAnsi="Calibri" w:cs="Calibri"/>
        </w:rPr>
      </w:pPr>
    </w:p>
    <w:p w14:paraId="559CDB29" w14:textId="77777777" w:rsidR="00690CB6" w:rsidRDefault="00690CB6" w:rsidP="00690CB6">
      <w:pPr>
        <w:pStyle w:val="NormalWeb"/>
        <w:spacing w:line="360" w:lineRule="auto"/>
        <w:jc w:val="both"/>
        <w:rPr>
          <w:rFonts w:ascii="Calibri" w:hAnsi="Calibri" w:cs="Calibri"/>
        </w:rPr>
      </w:pPr>
    </w:p>
    <w:p w14:paraId="2E802CA0" w14:textId="188A76AA" w:rsidR="00690CB6" w:rsidRDefault="00690CB6" w:rsidP="00690CB6">
      <w:pPr>
        <w:pStyle w:val="NormalWeb"/>
        <w:spacing w:line="360" w:lineRule="auto"/>
        <w:jc w:val="both"/>
        <w:rPr>
          <w:rFonts w:ascii="Calibri" w:hAnsi="Calibri" w:cs="Calibri"/>
        </w:rPr>
      </w:pPr>
      <w:r w:rsidRPr="00690CB6">
        <w:rPr>
          <w:rFonts w:ascii="Calibri" w:hAnsi="Calibri" w:cs="Calibri"/>
        </w:rPr>
        <w:drawing>
          <wp:inline distT="0" distB="0" distL="0" distR="0" wp14:anchorId="12F7277C" wp14:editId="69E6C8CB">
            <wp:extent cx="6391275" cy="4345305"/>
            <wp:effectExtent l="0" t="0" r="9525" b="0"/>
            <wp:docPr id="6462134" name="Imagem 1" descr="Foto preta e branca de jornal com texto preto sobre fundo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2134" name="Imagem 1" descr="Foto preta e branca de jornal com texto preto sobre fundo branco&#10;&#10;Descrição gerada automaticamente com confiança média"/>
                    <pic:cNvPicPr/>
                  </pic:nvPicPr>
                  <pic:blipFill>
                    <a:blip r:embed="rId11"/>
                    <a:stretch>
                      <a:fillRect/>
                    </a:stretch>
                  </pic:blipFill>
                  <pic:spPr>
                    <a:xfrm>
                      <a:off x="0" y="0"/>
                      <a:ext cx="6391275" cy="4345305"/>
                    </a:xfrm>
                    <a:prstGeom prst="rect">
                      <a:avLst/>
                    </a:prstGeom>
                  </pic:spPr>
                </pic:pic>
              </a:graphicData>
            </a:graphic>
          </wp:inline>
        </w:drawing>
      </w:r>
    </w:p>
    <w:p w14:paraId="26CEDB56" w14:textId="77777777" w:rsidR="00690CB6" w:rsidRDefault="00690CB6" w:rsidP="00BC77C6">
      <w:pPr>
        <w:autoSpaceDE w:val="0"/>
        <w:autoSpaceDN w:val="0"/>
        <w:adjustRightInd w:val="0"/>
        <w:spacing w:line="360" w:lineRule="auto"/>
        <w:ind w:firstLine="1985"/>
        <w:jc w:val="both"/>
        <w:rPr>
          <w:rFonts w:cs="Calibri"/>
          <w:sz w:val="24"/>
          <w:szCs w:val="24"/>
        </w:rPr>
      </w:pPr>
    </w:p>
    <w:p w14:paraId="598DDEF0" w14:textId="77777777" w:rsidR="00690CB6" w:rsidRDefault="00690CB6" w:rsidP="00BC77C6">
      <w:pPr>
        <w:autoSpaceDE w:val="0"/>
        <w:autoSpaceDN w:val="0"/>
        <w:adjustRightInd w:val="0"/>
        <w:spacing w:line="360" w:lineRule="auto"/>
        <w:ind w:firstLine="1985"/>
        <w:jc w:val="both"/>
        <w:rPr>
          <w:rFonts w:cs="Calibri"/>
          <w:sz w:val="24"/>
          <w:szCs w:val="24"/>
        </w:rPr>
      </w:pPr>
    </w:p>
    <w:p w14:paraId="06372872" w14:textId="68C14556" w:rsidR="00BC77C6" w:rsidRPr="008A4B70" w:rsidRDefault="00BC77C6" w:rsidP="00BC77C6">
      <w:pPr>
        <w:autoSpaceDE w:val="0"/>
        <w:autoSpaceDN w:val="0"/>
        <w:adjustRightInd w:val="0"/>
        <w:spacing w:line="360" w:lineRule="auto"/>
        <w:ind w:firstLine="1985"/>
        <w:jc w:val="both"/>
        <w:rPr>
          <w:rFonts w:cs="Calibri"/>
          <w:sz w:val="24"/>
          <w:szCs w:val="24"/>
        </w:rPr>
      </w:pPr>
      <w:r w:rsidRPr="008A4B70">
        <w:rPr>
          <w:rFonts w:cs="Calibri"/>
          <w:sz w:val="24"/>
          <w:szCs w:val="24"/>
        </w:rPr>
        <w:t>Cada proposta do PMCMV-E possui um responsável técnico pelos projetos e pela execução das obras, devendo este profissional observar a legislação, os procedimentos ideais de construção das casas, as metodologias e materiais de construção empregados, bem como devem prestar a devida assistência técnica à Entidade Organizadora e aos promitentes beneficiários das unidades habitacionais.</w:t>
      </w:r>
    </w:p>
    <w:p w14:paraId="0D174A3A" w14:textId="77777777" w:rsidR="00BC77C6" w:rsidRPr="008A4B70" w:rsidRDefault="00BC77C6" w:rsidP="00BC77C6">
      <w:pPr>
        <w:autoSpaceDE w:val="0"/>
        <w:autoSpaceDN w:val="0"/>
        <w:adjustRightInd w:val="0"/>
        <w:spacing w:line="360" w:lineRule="auto"/>
        <w:ind w:firstLine="1985"/>
        <w:jc w:val="both"/>
        <w:rPr>
          <w:rFonts w:cs="Calibri"/>
          <w:sz w:val="24"/>
          <w:szCs w:val="24"/>
        </w:rPr>
      </w:pPr>
    </w:p>
    <w:p w14:paraId="51873802" w14:textId="77777777" w:rsidR="00BC77C6" w:rsidRDefault="00BC77C6" w:rsidP="00BC77C6">
      <w:pPr>
        <w:autoSpaceDE w:val="0"/>
        <w:autoSpaceDN w:val="0"/>
        <w:adjustRightInd w:val="0"/>
        <w:spacing w:line="360" w:lineRule="auto"/>
        <w:ind w:firstLine="1985"/>
        <w:jc w:val="both"/>
        <w:rPr>
          <w:rFonts w:cs="Calibri"/>
          <w:sz w:val="24"/>
          <w:szCs w:val="24"/>
        </w:rPr>
      </w:pPr>
      <w:r w:rsidRPr="008A4B70">
        <w:rPr>
          <w:rFonts w:cs="Calibri"/>
          <w:sz w:val="24"/>
          <w:szCs w:val="24"/>
        </w:rPr>
        <w:t>A Entidade Organizadora é “</w:t>
      </w:r>
      <w:r w:rsidRPr="008A4B70">
        <w:rPr>
          <w:rFonts w:cs="Calibri"/>
          <w:b/>
          <w:bCs/>
          <w:i/>
          <w:iCs/>
          <w:sz w:val="24"/>
          <w:szCs w:val="24"/>
        </w:rPr>
        <w:t>responsável pela proposta de intervenção habitacional junto ao Agente Financeiro e desenvolvimento de cada uma das etapas dos projetos de arquitetura, engenharia, de trabalho social; seleção, mobilização, organização e orientação às famílias tomadoras dos financiamentos, inclusive em relação à documentação necessária, e gestão dos recursos financeiros, obras e serviços do empreendimento, por meio de participação na CRE e CAO</w:t>
      </w:r>
      <w:r w:rsidRPr="008A4B70">
        <w:rPr>
          <w:rFonts w:cs="Calibri"/>
          <w:sz w:val="24"/>
          <w:szCs w:val="24"/>
        </w:rPr>
        <w:t>”, conforme estabelecido na IN 12/2018 do Ministério das Cidades</w:t>
      </w:r>
      <w:r>
        <w:rPr>
          <w:rFonts w:cs="Calibri"/>
          <w:sz w:val="24"/>
          <w:szCs w:val="24"/>
        </w:rPr>
        <w:t>/MDR</w:t>
      </w:r>
      <w:r w:rsidRPr="008A4B70">
        <w:rPr>
          <w:rFonts w:cs="Calibri"/>
          <w:sz w:val="24"/>
          <w:szCs w:val="24"/>
        </w:rPr>
        <w:t>.</w:t>
      </w:r>
    </w:p>
    <w:p w14:paraId="4B7C939F" w14:textId="77777777" w:rsidR="00BC77C6" w:rsidRDefault="00BC77C6" w:rsidP="00BC77C6">
      <w:pPr>
        <w:autoSpaceDE w:val="0"/>
        <w:autoSpaceDN w:val="0"/>
        <w:adjustRightInd w:val="0"/>
        <w:spacing w:line="360" w:lineRule="auto"/>
        <w:ind w:firstLine="1985"/>
        <w:jc w:val="both"/>
        <w:rPr>
          <w:rFonts w:cs="Calibri"/>
          <w:sz w:val="24"/>
          <w:szCs w:val="24"/>
        </w:rPr>
      </w:pPr>
    </w:p>
    <w:p w14:paraId="05380E03" w14:textId="77777777" w:rsidR="00BC77C6" w:rsidRDefault="00BC77C6" w:rsidP="00BC77C6">
      <w:pPr>
        <w:autoSpaceDE w:val="0"/>
        <w:autoSpaceDN w:val="0"/>
        <w:adjustRightInd w:val="0"/>
        <w:spacing w:line="360" w:lineRule="auto"/>
        <w:ind w:firstLine="1985"/>
        <w:jc w:val="both"/>
        <w:rPr>
          <w:rFonts w:cs="Calibri"/>
          <w:sz w:val="24"/>
          <w:szCs w:val="24"/>
        </w:rPr>
      </w:pPr>
      <w:r w:rsidRPr="00070269">
        <w:rPr>
          <w:rFonts w:cs="Calibri"/>
          <w:sz w:val="24"/>
          <w:szCs w:val="24"/>
        </w:rPr>
        <w:t xml:space="preserve">É de se ressaltar que a CAIXA não faz fiscalização, que é </w:t>
      </w:r>
      <w:r>
        <w:rPr>
          <w:rFonts w:cs="Calibri"/>
          <w:sz w:val="24"/>
          <w:szCs w:val="24"/>
        </w:rPr>
        <w:t>a</w:t>
      </w:r>
      <w:r w:rsidRPr="00070269">
        <w:rPr>
          <w:rFonts w:cs="Calibri"/>
          <w:sz w:val="24"/>
          <w:szCs w:val="24"/>
        </w:rPr>
        <w:t xml:space="preserve">tividade técnica com </w:t>
      </w:r>
      <w:r>
        <w:rPr>
          <w:rFonts w:cs="Calibri"/>
          <w:sz w:val="24"/>
          <w:szCs w:val="24"/>
        </w:rPr>
        <w:t>norma/</w:t>
      </w:r>
      <w:r w:rsidRPr="00070269">
        <w:rPr>
          <w:rFonts w:cs="Calibri"/>
          <w:sz w:val="24"/>
          <w:szCs w:val="24"/>
        </w:rPr>
        <w:t>ART específica para essa atividade</w:t>
      </w:r>
      <w:r>
        <w:rPr>
          <w:rFonts w:cs="Calibri"/>
          <w:sz w:val="24"/>
          <w:szCs w:val="24"/>
        </w:rPr>
        <w:t>.</w:t>
      </w:r>
    </w:p>
    <w:p w14:paraId="527E34FF" w14:textId="77777777" w:rsidR="00BC77C6" w:rsidRPr="00070269" w:rsidRDefault="00BC77C6" w:rsidP="00BC77C6">
      <w:pPr>
        <w:autoSpaceDE w:val="0"/>
        <w:autoSpaceDN w:val="0"/>
        <w:adjustRightInd w:val="0"/>
        <w:spacing w:line="360" w:lineRule="auto"/>
        <w:ind w:firstLine="1985"/>
        <w:jc w:val="both"/>
        <w:rPr>
          <w:rFonts w:cs="Calibri"/>
          <w:sz w:val="24"/>
          <w:szCs w:val="24"/>
        </w:rPr>
      </w:pPr>
    </w:p>
    <w:p w14:paraId="4EC40569" w14:textId="77777777" w:rsidR="00BC77C6" w:rsidRDefault="00BC77C6" w:rsidP="00BC77C6">
      <w:pPr>
        <w:autoSpaceDE w:val="0"/>
        <w:autoSpaceDN w:val="0"/>
        <w:adjustRightInd w:val="0"/>
        <w:spacing w:line="360" w:lineRule="auto"/>
        <w:ind w:firstLine="1985"/>
        <w:jc w:val="both"/>
        <w:rPr>
          <w:rFonts w:cs="Calibri"/>
          <w:sz w:val="24"/>
          <w:szCs w:val="24"/>
        </w:rPr>
      </w:pPr>
      <w:r w:rsidRPr="00070269">
        <w:rPr>
          <w:rFonts w:cs="Calibri"/>
          <w:sz w:val="24"/>
          <w:szCs w:val="24"/>
        </w:rPr>
        <w:t xml:space="preserve"> As </w:t>
      </w:r>
      <w:r>
        <w:rPr>
          <w:rFonts w:cs="Calibri"/>
          <w:sz w:val="24"/>
          <w:szCs w:val="24"/>
        </w:rPr>
        <w:t xml:space="preserve">análises visuais </w:t>
      </w:r>
      <w:r w:rsidRPr="00070269">
        <w:rPr>
          <w:rFonts w:cs="Calibri"/>
          <w:sz w:val="24"/>
          <w:szCs w:val="24"/>
        </w:rPr>
        <w:t>são</w:t>
      </w:r>
      <w:r>
        <w:rPr>
          <w:rFonts w:cs="Calibri"/>
          <w:sz w:val="24"/>
          <w:szCs w:val="24"/>
        </w:rPr>
        <w:t xml:space="preserve"> pontuais, simples e meramente</w:t>
      </w:r>
      <w:r w:rsidRPr="00070269">
        <w:rPr>
          <w:rFonts w:cs="Calibri"/>
          <w:sz w:val="24"/>
          <w:szCs w:val="24"/>
        </w:rPr>
        <w:t xml:space="preserve"> amostrais, sem auxílio de instrumentos de precisão, </w:t>
      </w:r>
      <w:r>
        <w:rPr>
          <w:rFonts w:cs="Calibri"/>
          <w:sz w:val="24"/>
          <w:szCs w:val="24"/>
        </w:rPr>
        <w:t>com</w:t>
      </w:r>
      <w:r w:rsidRPr="00070269">
        <w:rPr>
          <w:rFonts w:cs="Calibri"/>
          <w:sz w:val="24"/>
          <w:szCs w:val="24"/>
        </w:rPr>
        <w:t xml:space="preserve"> o intuito de aferir as medições apresentadas pelo proponente e de verificar a qualidade aparente da obra, atividade que não se caracteriza como </w:t>
      </w:r>
      <w:r>
        <w:rPr>
          <w:rFonts w:cs="Calibri"/>
          <w:sz w:val="24"/>
          <w:szCs w:val="24"/>
        </w:rPr>
        <w:t xml:space="preserve">atividade de </w:t>
      </w:r>
      <w:r w:rsidRPr="00070269">
        <w:rPr>
          <w:rFonts w:cs="Calibri"/>
          <w:sz w:val="24"/>
          <w:szCs w:val="24"/>
        </w:rPr>
        <w:t>fiscalização de obras</w:t>
      </w:r>
      <w:r>
        <w:rPr>
          <w:rFonts w:cs="Calibri"/>
          <w:sz w:val="24"/>
          <w:szCs w:val="24"/>
        </w:rPr>
        <w:t>.</w:t>
      </w:r>
      <w:r w:rsidRPr="00070269">
        <w:rPr>
          <w:rFonts w:cs="Calibri"/>
          <w:sz w:val="24"/>
          <w:szCs w:val="24"/>
        </w:rPr>
        <w:t xml:space="preserve"> </w:t>
      </w:r>
    </w:p>
    <w:p w14:paraId="511060C4" w14:textId="77777777" w:rsidR="00BC77C6" w:rsidRPr="00070269" w:rsidRDefault="00BC77C6" w:rsidP="00BC77C6">
      <w:pPr>
        <w:autoSpaceDE w:val="0"/>
        <w:autoSpaceDN w:val="0"/>
        <w:adjustRightInd w:val="0"/>
        <w:spacing w:line="360" w:lineRule="auto"/>
        <w:ind w:firstLine="1985"/>
        <w:jc w:val="both"/>
        <w:rPr>
          <w:rFonts w:cs="Calibri"/>
          <w:sz w:val="24"/>
          <w:szCs w:val="24"/>
        </w:rPr>
      </w:pPr>
    </w:p>
    <w:p w14:paraId="7C5D0DF3" w14:textId="77777777" w:rsidR="00BC77C6" w:rsidRPr="00070269" w:rsidRDefault="00BC77C6" w:rsidP="00BC77C6">
      <w:pPr>
        <w:autoSpaceDE w:val="0"/>
        <w:autoSpaceDN w:val="0"/>
        <w:adjustRightInd w:val="0"/>
        <w:spacing w:line="360" w:lineRule="auto"/>
        <w:ind w:firstLine="1985"/>
        <w:jc w:val="both"/>
        <w:rPr>
          <w:rFonts w:cs="Calibri"/>
          <w:b/>
          <w:bCs/>
          <w:sz w:val="24"/>
          <w:szCs w:val="24"/>
          <w:u w:val="single"/>
        </w:rPr>
      </w:pPr>
      <w:r w:rsidRPr="00070269">
        <w:rPr>
          <w:rFonts w:cs="Calibri"/>
          <w:b/>
          <w:bCs/>
          <w:sz w:val="24"/>
          <w:szCs w:val="24"/>
          <w:u w:val="single"/>
        </w:rPr>
        <w:t xml:space="preserve">No caso dos autos, do PMCMV FAIXA I – PNHU </w:t>
      </w:r>
      <w:proofErr w:type="gramStart"/>
      <w:r w:rsidRPr="00070269">
        <w:rPr>
          <w:rFonts w:cs="Calibri"/>
          <w:b/>
          <w:bCs/>
          <w:sz w:val="24"/>
          <w:szCs w:val="24"/>
          <w:u w:val="single"/>
        </w:rPr>
        <w:t>-  FDS</w:t>
      </w:r>
      <w:proofErr w:type="gramEnd"/>
      <w:r w:rsidRPr="00070269">
        <w:rPr>
          <w:rFonts w:cs="Calibri"/>
          <w:b/>
          <w:bCs/>
          <w:sz w:val="24"/>
          <w:szCs w:val="24"/>
          <w:u w:val="single"/>
        </w:rPr>
        <w:t xml:space="preserve">, há a participação direta dos beneficiários na construção e na administração da obra através da CRE (comissão dos representantes do empreendimento) e CAO (comissão de acompanhamento de obras). Ambas as comissões são formadas pelos beneficiários.   </w:t>
      </w:r>
    </w:p>
    <w:p w14:paraId="5BEA1DD7" w14:textId="77777777" w:rsidR="00BC77C6" w:rsidRDefault="00BC77C6" w:rsidP="00BC77C6">
      <w:pPr>
        <w:rPr>
          <w:rFonts w:cs="Calibri"/>
        </w:rPr>
      </w:pPr>
      <w:r>
        <w:rPr>
          <w:rFonts w:cs="Calibri"/>
        </w:rPr>
        <w:t> </w:t>
      </w:r>
    </w:p>
    <w:p w14:paraId="3F87B28C" w14:textId="77777777" w:rsidR="00BC77C6" w:rsidRPr="00070269" w:rsidRDefault="00BC77C6" w:rsidP="00BC77C6">
      <w:pPr>
        <w:autoSpaceDE w:val="0"/>
        <w:autoSpaceDN w:val="0"/>
        <w:adjustRightInd w:val="0"/>
        <w:spacing w:line="360" w:lineRule="auto"/>
        <w:ind w:firstLine="1985"/>
        <w:jc w:val="both"/>
        <w:rPr>
          <w:rFonts w:cs="Calibri"/>
          <w:b/>
          <w:bCs/>
          <w:sz w:val="24"/>
          <w:szCs w:val="24"/>
        </w:rPr>
      </w:pPr>
      <w:r w:rsidRPr="00070269">
        <w:rPr>
          <w:rFonts w:cs="Calibri"/>
          <w:b/>
          <w:bCs/>
          <w:sz w:val="24"/>
          <w:szCs w:val="24"/>
        </w:rPr>
        <w:t>Na ata da eleição da CRE - comissão dos representantes do empreendimento - está descrito suas atribuições: </w:t>
      </w:r>
    </w:p>
    <w:p w14:paraId="53D97ED9" w14:textId="77777777" w:rsidR="00BC77C6" w:rsidRDefault="00BC77C6" w:rsidP="00BC77C6">
      <w:pPr>
        <w:rPr>
          <w:rFonts w:cs="Calibri"/>
        </w:rPr>
      </w:pPr>
      <w:r>
        <w:rPr>
          <w:rFonts w:cs="Calibri"/>
        </w:rPr>
        <w:t> </w:t>
      </w:r>
    </w:p>
    <w:p w14:paraId="59E42A70" w14:textId="77777777" w:rsidR="00BC77C6" w:rsidRPr="00070269" w:rsidRDefault="00BC77C6" w:rsidP="00BC77C6">
      <w:pPr>
        <w:autoSpaceDE w:val="0"/>
        <w:autoSpaceDN w:val="0"/>
        <w:adjustRightInd w:val="0"/>
        <w:spacing w:line="360" w:lineRule="auto"/>
        <w:ind w:firstLine="1985"/>
        <w:jc w:val="both"/>
        <w:rPr>
          <w:rFonts w:cs="Calibri"/>
          <w:sz w:val="24"/>
          <w:szCs w:val="24"/>
        </w:rPr>
      </w:pPr>
      <w:r w:rsidRPr="00070269">
        <w:rPr>
          <w:rFonts w:cs="Calibri"/>
          <w:sz w:val="24"/>
          <w:szCs w:val="24"/>
        </w:rPr>
        <w:t>-Firmar abertura de conta poupança, não solidária, na agência concessora.  </w:t>
      </w:r>
    </w:p>
    <w:p w14:paraId="213D0233" w14:textId="77777777" w:rsidR="00BC77C6" w:rsidRPr="00070269" w:rsidRDefault="00BC77C6" w:rsidP="00BC77C6">
      <w:pPr>
        <w:autoSpaceDE w:val="0"/>
        <w:autoSpaceDN w:val="0"/>
        <w:adjustRightInd w:val="0"/>
        <w:spacing w:line="360" w:lineRule="auto"/>
        <w:ind w:firstLine="1985"/>
        <w:jc w:val="both"/>
        <w:rPr>
          <w:rFonts w:cs="Calibri"/>
          <w:sz w:val="24"/>
          <w:szCs w:val="24"/>
        </w:rPr>
      </w:pPr>
      <w:r w:rsidRPr="00070269">
        <w:rPr>
          <w:rFonts w:cs="Calibri"/>
          <w:sz w:val="24"/>
          <w:szCs w:val="24"/>
        </w:rPr>
        <w:t>-Gerir e movimentar os recursos financeiros liberados pela CAIXA para a produção das UH e/ou para pagamento da assistência técnica para elaboração dos projetos.  </w:t>
      </w:r>
    </w:p>
    <w:p w14:paraId="3C8A2D81" w14:textId="77777777" w:rsidR="00BC77C6" w:rsidRPr="00070269" w:rsidRDefault="00BC77C6" w:rsidP="00BC77C6">
      <w:pPr>
        <w:autoSpaceDE w:val="0"/>
        <w:autoSpaceDN w:val="0"/>
        <w:adjustRightInd w:val="0"/>
        <w:spacing w:line="360" w:lineRule="auto"/>
        <w:ind w:firstLine="1985"/>
        <w:jc w:val="both"/>
        <w:rPr>
          <w:rFonts w:cs="Calibri"/>
          <w:sz w:val="24"/>
          <w:szCs w:val="24"/>
        </w:rPr>
      </w:pPr>
      <w:r w:rsidRPr="00070269">
        <w:rPr>
          <w:rFonts w:cs="Calibri"/>
          <w:sz w:val="24"/>
          <w:szCs w:val="24"/>
        </w:rPr>
        <w:t>-Prestar constas aos demais futuros beneficiários participantes do empreendimento sobre a aplicação dos recursos liberados pela CAIXA.  </w:t>
      </w:r>
    </w:p>
    <w:p w14:paraId="1C007293" w14:textId="77777777" w:rsidR="00BC77C6" w:rsidRPr="00070269" w:rsidRDefault="00BC77C6" w:rsidP="00BC77C6">
      <w:pPr>
        <w:autoSpaceDE w:val="0"/>
        <w:autoSpaceDN w:val="0"/>
        <w:adjustRightInd w:val="0"/>
        <w:spacing w:line="360" w:lineRule="auto"/>
        <w:ind w:firstLine="1985"/>
        <w:jc w:val="both"/>
        <w:rPr>
          <w:rFonts w:cs="Calibri"/>
          <w:sz w:val="24"/>
          <w:szCs w:val="24"/>
        </w:rPr>
      </w:pPr>
      <w:r w:rsidRPr="00070269">
        <w:rPr>
          <w:rFonts w:cs="Calibri"/>
          <w:sz w:val="24"/>
          <w:szCs w:val="24"/>
        </w:rPr>
        <w:t>-Acompanhar financeiramente o contrato.  </w:t>
      </w:r>
    </w:p>
    <w:p w14:paraId="58383A88" w14:textId="77777777" w:rsidR="00BC77C6" w:rsidRPr="00070269" w:rsidRDefault="00BC77C6" w:rsidP="00BC77C6">
      <w:pPr>
        <w:autoSpaceDE w:val="0"/>
        <w:autoSpaceDN w:val="0"/>
        <w:adjustRightInd w:val="0"/>
        <w:spacing w:line="360" w:lineRule="auto"/>
        <w:ind w:firstLine="1985"/>
        <w:jc w:val="both"/>
        <w:rPr>
          <w:rFonts w:cs="Calibri"/>
          <w:sz w:val="24"/>
          <w:szCs w:val="24"/>
        </w:rPr>
      </w:pPr>
      <w:r w:rsidRPr="00070269">
        <w:rPr>
          <w:rFonts w:cs="Calibri"/>
          <w:sz w:val="24"/>
          <w:szCs w:val="24"/>
        </w:rPr>
        <w:t>-Autorizar em conjunto com a EO, a transferência de parcelas relativas as obras e serviços executados, diretamente pela empresa construtora, nas contratações com regime de cogestão, desde que acordado formalmente entre as partes.  </w:t>
      </w:r>
    </w:p>
    <w:p w14:paraId="002A580A" w14:textId="77777777" w:rsidR="00BC77C6" w:rsidRPr="00070269" w:rsidRDefault="00BC77C6" w:rsidP="00BC77C6">
      <w:pPr>
        <w:autoSpaceDE w:val="0"/>
        <w:autoSpaceDN w:val="0"/>
        <w:adjustRightInd w:val="0"/>
        <w:spacing w:line="360" w:lineRule="auto"/>
        <w:ind w:firstLine="1985"/>
        <w:jc w:val="both"/>
        <w:rPr>
          <w:rFonts w:cs="Calibri"/>
          <w:sz w:val="24"/>
          <w:szCs w:val="24"/>
        </w:rPr>
      </w:pPr>
      <w:r w:rsidRPr="00070269">
        <w:rPr>
          <w:rFonts w:cs="Calibri"/>
          <w:sz w:val="24"/>
          <w:szCs w:val="24"/>
        </w:rPr>
        <w:t> </w:t>
      </w:r>
    </w:p>
    <w:p w14:paraId="738028EF" w14:textId="77777777" w:rsidR="00BC77C6" w:rsidRPr="00070269" w:rsidRDefault="00BC77C6" w:rsidP="00BC77C6">
      <w:pPr>
        <w:autoSpaceDE w:val="0"/>
        <w:autoSpaceDN w:val="0"/>
        <w:adjustRightInd w:val="0"/>
        <w:spacing w:line="360" w:lineRule="auto"/>
        <w:ind w:firstLine="1985"/>
        <w:jc w:val="both"/>
        <w:rPr>
          <w:rFonts w:cs="Calibri"/>
          <w:sz w:val="24"/>
          <w:szCs w:val="24"/>
        </w:rPr>
      </w:pPr>
      <w:r w:rsidRPr="00070269">
        <w:rPr>
          <w:rFonts w:cs="Calibri"/>
          <w:b/>
          <w:bCs/>
          <w:sz w:val="24"/>
          <w:szCs w:val="24"/>
        </w:rPr>
        <w:t xml:space="preserve">Na ata da eleição da CAO </w:t>
      </w:r>
      <w:proofErr w:type="gramStart"/>
      <w:r w:rsidRPr="00070269">
        <w:rPr>
          <w:rFonts w:cs="Calibri"/>
          <w:b/>
          <w:bCs/>
          <w:sz w:val="24"/>
          <w:szCs w:val="24"/>
        </w:rPr>
        <w:t>-  comissão</w:t>
      </w:r>
      <w:proofErr w:type="gramEnd"/>
      <w:r w:rsidRPr="00070269">
        <w:rPr>
          <w:rFonts w:cs="Calibri"/>
          <w:b/>
          <w:bCs/>
          <w:sz w:val="24"/>
          <w:szCs w:val="24"/>
        </w:rPr>
        <w:t xml:space="preserve"> de acompanhamento de obras) -  está descrito suas atribuições</w:t>
      </w:r>
      <w:r w:rsidRPr="00070269">
        <w:rPr>
          <w:rFonts w:cs="Calibri"/>
          <w:sz w:val="24"/>
          <w:szCs w:val="24"/>
        </w:rPr>
        <w:t>: </w:t>
      </w:r>
    </w:p>
    <w:p w14:paraId="16AF4699" w14:textId="77777777" w:rsidR="00BC77C6" w:rsidRPr="00070269" w:rsidRDefault="00BC77C6" w:rsidP="00BC77C6">
      <w:pPr>
        <w:autoSpaceDE w:val="0"/>
        <w:autoSpaceDN w:val="0"/>
        <w:adjustRightInd w:val="0"/>
        <w:spacing w:line="360" w:lineRule="auto"/>
        <w:ind w:firstLine="1985"/>
        <w:jc w:val="both"/>
        <w:rPr>
          <w:rFonts w:cs="Calibri"/>
          <w:sz w:val="24"/>
          <w:szCs w:val="24"/>
        </w:rPr>
      </w:pPr>
      <w:r w:rsidRPr="00070269">
        <w:rPr>
          <w:rFonts w:cs="Calibri"/>
          <w:sz w:val="24"/>
          <w:szCs w:val="24"/>
        </w:rPr>
        <w:t> </w:t>
      </w:r>
    </w:p>
    <w:p w14:paraId="5D34217D" w14:textId="77777777" w:rsidR="00BC77C6" w:rsidRPr="00070269" w:rsidRDefault="00BC77C6" w:rsidP="00BC77C6">
      <w:pPr>
        <w:autoSpaceDE w:val="0"/>
        <w:autoSpaceDN w:val="0"/>
        <w:adjustRightInd w:val="0"/>
        <w:spacing w:line="360" w:lineRule="auto"/>
        <w:ind w:firstLine="1985"/>
        <w:jc w:val="both"/>
        <w:rPr>
          <w:rFonts w:cs="Calibri"/>
          <w:sz w:val="24"/>
          <w:szCs w:val="24"/>
        </w:rPr>
      </w:pPr>
      <w:r w:rsidRPr="00070269">
        <w:rPr>
          <w:rFonts w:cs="Calibri"/>
          <w:sz w:val="24"/>
          <w:szCs w:val="24"/>
        </w:rPr>
        <w:lastRenderedPageBreak/>
        <w:t>-Responsabilizar-se conjuntamente com a EO, pela execução do empreendimento e/ou acompanhamento da elaboração, apresentação e aprovação dos projetos, junto aos órgãos competentes.  </w:t>
      </w:r>
    </w:p>
    <w:p w14:paraId="33F5A44F" w14:textId="77777777" w:rsidR="00BC77C6" w:rsidRPr="00070269" w:rsidRDefault="00BC77C6" w:rsidP="00BC77C6">
      <w:pPr>
        <w:autoSpaceDE w:val="0"/>
        <w:autoSpaceDN w:val="0"/>
        <w:adjustRightInd w:val="0"/>
        <w:spacing w:line="360" w:lineRule="auto"/>
        <w:ind w:firstLine="1985"/>
        <w:jc w:val="both"/>
        <w:rPr>
          <w:rFonts w:cs="Calibri"/>
          <w:sz w:val="24"/>
          <w:szCs w:val="24"/>
        </w:rPr>
      </w:pPr>
      <w:r w:rsidRPr="00070269">
        <w:rPr>
          <w:rFonts w:cs="Calibri"/>
          <w:sz w:val="24"/>
          <w:szCs w:val="24"/>
        </w:rPr>
        <w:t>-Acompanhar as obras e aplicação dos recursos geridos pela CRE </w:t>
      </w:r>
    </w:p>
    <w:p w14:paraId="71AD33C0" w14:textId="77777777" w:rsidR="00BC77C6" w:rsidRPr="00070269" w:rsidRDefault="00BC77C6" w:rsidP="00BC77C6">
      <w:pPr>
        <w:autoSpaceDE w:val="0"/>
        <w:autoSpaceDN w:val="0"/>
        <w:adjustRightInd w:val="0"/>
        <w:spacing w:line="360" w:lineRule="auto"/>
        <w:ind w:firstLine="1985"/>
        <w:jc w:val="both"/>
        <w:rPr>
          <w:rFonts w:cs="Calibri"/>
          <w:sz w:val="24"/>
          <w:szCs w:val="24"/>
        </w:rPr>
      </w:pPr>
      <w:r w:rsidRPr="00070269">
        <w:rPr>
          <w:rFonts w:cs="Calibri"/>
          <w:sz w:val="24"/>
          <w:szCs w:val="24"/>
        </w:rPr>
        <w:t>Dialogar com a empresa construtora, no caso de fase II, e/ou com empresas fornecedoras do material de construção.  </w:t>
      </w:r>
    </w:p>
    <w:p w14:paraId="1CA750C7" w14:textId="77777777" w:rsidR="00BC77C6" w:rsidRPr="00070269" w:rsidRDefault="00BC77C6" w:rsidP="00BC77C6">
      <w:pPr>
        <w:autoSpaceDE w:val="0"/>
        <w:autoSpaceDN w:val="0"/>
        <w:adjustRightInd w:val="0"/>
        <w:spacing w:line="360" w:lineRule="auto"/>
        <w:ind w:firstLine="1985"/>
        <w:jc w:val="both"/>
        <w:rPr>
          <w:rFonts w:cs="Calibri"/>
          <w:sz w:val="24"/>
          <w:szCs w:val="24"/>
        </w:rPr>
      </w:pPr>
      <w:r w:rsidRPr="00070269">
        <w:rPr>
          <w:rFonts w:cs="Calibri"/>
          <w:sz w:val="24"/>
          <w:szCs w:val="24"/>
        </w:rPr>
        <w:t>-Dialogar com o engenheiro responsável pelas obras, ou no caso de aquisição de terreno, com a assessoria técnica responsável pela elaboração dos projetos.  </w:t>
      </w:r>
    </w:p>
    <w:p w14:paraId="59D297DE" w14:textId="77777777" w:rsidR="00BC77C6" w:rsidRPr="00070269" w:rsidRDefault="00BC77C6" w:rsidP="00BC77C6">
      <w:pPr>
        <w:autoSpaceDE w:val="0"/>
        <w:autoSpaceDN w:val="0"/>
        <w:adjustRightInd w:val="0"/>
        <w:spacing w:line="360" w:lineRule="auto"/>
        <w:ind w:firstLine="1985"/>
        <w:jc w:val="both"/>
        <w:rPr>
          <w:rFonts w:cs="Calibri"/>
          <w:i/>
          <w:iCs/>
          <w:sz w:val="24"/>
          <w:szCs w:val="24"/>
          <w:u w:val="single"/>
        </w:rPr>
      </w:pPr>
      <w:r w:rsidRPr="00070269">
        <w:rPr>
          <w:rFonts w:cs="Calibri"/>
          <w:i/>
          <w:iCs/>
          <w:sz w:val="24"/>
          <w:szCs w:val="24"/>
          <w:u w:val="single"/>
        </w:rPr>
        <w:t>Justificar em conjunto com a EO, o pleito de prorrogação de prazo de carência. </w:t>
      </w:r>
    </w:p>
    <w:p w14:paraId="7F18F49D" w14:textId="77777777" w:rsidR="00BC77C6" w:rsidRPr="00070269" w:rsidRDefault="00BC77C6" w:rsidP="00BC77C6">
      <w:pPr>
        <w:autoSpaceDE w:val="0"/>
        <w:autoSpaceDN w:val="0"/>
        <w:adjustRightInd w:val="0"/>
        <w:spacing w:line="360" w:lineRule="auto"/>
        <w:ind w:firstLine="1985"/>
        <w:jc w:val="both"/>
        <w:rPr>
          <w:rFonts w:cs="Calibri"/>
          <w:sz w:val="24"/>
          <w:szCs w:val="24"/>
        </w:rPr>
      </w:pPr>
      <w:r w:rsidRPr="00070269">
        <w:rPr>
          <w:rFonts w:cs="Calibri"/>
          <w:sz w:val="24"/>
          <w:szCs w:val="24"/>
        </w:rPr>
        <w:t>-Prestar contas aos demais futuros beneficiários participantes do empreendimento sobre o desenvolvimento dos projetos, ou no caso de construção, sobre o andamento das obras, segurança e guarda das obras e material adquirido. </w:t>
      </w:r>
    </w:p>
    <w:p w14:paraId="7B6D2A7C" w14:textId="77777777" w:rsidR="00BC77C6" w:rsidRPr="008A4B70" w:rsidRDefault="00BC77C6" w:rsidP="00BC77C6">
      <w:pPr>
        <w:autoSpaceDE w:val="0"/>
        <w:autoSpaceDN w:val="0"/>
        <w:adjustRightInd w:val="0"/>
        <w:spacing w:line="360" w:lineRule="auto"/>
        <w:jc w:val="both"/>
        <w:rPr>
          <w:rFonts w:cs="Calibri"/>
          <w:sz w:val="24"/>
          <w:szCs w:val="24"/>
        </w:rPr>
      </w:pPr>
    </w:p>
    <w:p w14:paraId="2603D634" w14:textId="77777777" w:rsidR="00BC77C6" w:rsidRPr="008A4B70" w:rsidRDefault="00BC77C6" w:rsidP="00BC77C6">
      <w:pPr>
        <w:autoSpaceDE w:val="0"/>
        <w:autoSpaceDN w:val="0"/>
        <w:adjustRightInd w:val="0"/>
        <w:spacing w:line="360" w:lineRule="auto"/>
        <w:ind w:firstLine="1985"/>
        <w:jc w:val="both"/>
        <w:rPr>
          <w:rFonts w:cs="Calibri"/>
          <w:sz w:val="24"/>
          <w:szCs w:val="24"/>
        </w:rPr>
      </w:pPr>
      <w:r w:rsidRPr="008A4B70">
        <w:rPr>
          <w:rFonts w:cs="Calibri"/>
          <w:sz w:val="24"/>
          <w:szCs w:val="24"/>
        </w:rPr>
        <w:t xml:space="preserve">Essas atribuições são ratificadas no </w:t>
      </w:r>
      <w:r w:rsidRPr="008A4B70">
        <w:rPr>
          <w:rFonts w:cs="Calibri"/>
          <w:b/>
          <w:bCs/>
          <w:sz w:val="24"/>
          <w:szCs w:val="24"/>
        </w:rPr>
        <w:t xml:space="preserve">Contrato de Compra e Venda Terreno, Pagamento de Despesas de Legalização e Assistência Técnica para Projetos – Programa Minha Casa Vida – Entidades – Pessoa Jurídica, no Termo de Cooperação e Parceria e Contrato de Novação de Dívida, Mútuo para Construção de Empreendimento Imobiliário e Alienação Fiduciária em Garantia PMCMV – Entidades – FDS – PJ </w:t>
      </w:r>
      <w:r w:rsidRPr="008A4B70">
        <w:rPr>
          <w:rFonts w:cs="Calibri"/>
          <w:sz w:val="24"/>
          <w:szCs w:val="24"/>
        </w:rPr>
        <w:t>Entidade Organizadora deve eleger uma Comissão de Representantes da Entidade – CRE, que é responsável por “</w:t>
      </w:r>
      <w:r w:rsidRPr="008A4B70">
        <w:rPr>
          <w:rFonts w:cs="Calibri"/>
          <w:b/>
          <w:bCs/>
          <w:i/>
          <w:iCs/>
          <w:sz w:val="24"/>
          <w:szCs w:val="24"/>
        </w:rPr>
        <w:t>gerir e movimentar os recursos financeiros destinados à produção e legalização do empreendimento, de executar cotação de preços, de realizar pagamentos, após consulta à CAO sobre a qualidade de serviços executados e materiais adquiridos ou utilizados, e de efetuar prestação de contas, à qual será dada publicidade aos beneficiários</w:t>
      </w:r>
      <w:r w:rsidRPr="008A4B70">
        <w:rPr>
          <w:rFonts w:cs="Calibri"/>
          <w:sz w:val="24"/>
          <w:szCs w:val="24"/>
        </w:rPr>
        <w:t>”.</w:t>
      </w:r>
    </w:p>
    <w:p w14:paraId="7C3D45CE" w14:textId="77777777" w:rsidR="00BC77C6" w:rsidRPr="008A4B70" w:rsidRDefault="00BC77C6" w:rsidP="00BC77C6">
      <w:pPr>
        <w:autoSpaceDE w:val="0"/>
        <w:autoSpaceDN w:val="0"/>
        <w:adjustRightInd w:val="0"/>
        <w:spacing w:line="360" w:lineRule="auto"/>
        <w:ind w:firstLine="1985"/>
        <w:jc w:val="both"/>
        <w:rPr>
          <w:rFonts w:cs="Calibri"/>
          <w:sz w:val="24"/>
          <w:szCs w:val="24"/>
        </w:rPr>
      </w:pPr>
    </w:p>
    <w:p w14:paraId="55ABE386" w14:textId="77777777" w:rsidR="00BC77C6" w:rsidRPr="008A4B70" w:rsidRDefault="00BC77C6" w:rsidP="00BC77C6">
      <w:pPr>
        <w:autoSpaceDE w:val="0"/>
        <w:autoSpaceDN w:val="0"/>
        <w:adjustRightInd w:val="0"/>
        <w:spacing w:line="360" w:lineRule="auto"/>
        <w:ind w:firstLine="1985"/>
        <w:jc w:val="both"/>
        <w:rPr>
          <w:rFonts w:cs="Calibri"/>
          <w:sz w:val="24"/>
          <w:szCs w:val="24"/>
        </w:rPr>
      </w:pPr>
      <w:r w:rsidRPr="008A4B70">
        <w:rPr>
          <w:rFonts w:cs="Calibri"/>
          <w:sz w:val="24"/>
          <w:szCs w:val="24"/>
        </w:rPr>
        <w:t>A Entidade Organizadora também deve eleger uma Comissão de Acompanhamento de Obra – CAO, que é responsável pelo “</w:t>
      </w:r>
      <w:r w:rsidRPr="008A4B70">
        <w:rPr>
          <w:rFonts w:cs="Calibri"/>
          <w:b/>
          <w:bCs/>
          <w:i/>
          <w:iCs/>
          <w:sz w:val="24"/>
          <w:szCs w:val="24"/>
        </w:rPr>
        <w:t>acompanhamento e fiscalização da execução do empreendimento mediante interlocução e apoio da assessoria técnica e, quando em regime de cogestão, com construtora e, quando em regime de autogestão, com prestadores de serviços</w:t>
      </w:r>
      <w:r w:rsidRPr="008A4B70">
        <w:rPr>
          <w:rFonts w:cs="Calibri"/>
          <w:sz w:val="24"/>
          <w:szCs w:val="24"/>
        </w:rPr>
        <w:t>”.</w:t>
      </w:r>
    </w:p>
    <w:p w14:paraId="3E4476E7" w14:textId="77777777" w:rsidR="00BC77C6" w:rsidRPr="00E42799" w:rsidRDefault="00BC77C6" w:rsidP="00BC77C6">
      <w:pPr>
        <w:tabs>
          <w:tab w:val="left" w:pos="708"/>
        </w:tabs>
        <w:suppressAutoHyphens/>
        <w:spacing w:line="360" w:lineRule="auto"/>
        <w:jc w:val="both"/>
        <w:rPr>
          <w:rFonts w:cs="Calibri"/>
          <w:sz w:val="24"/>
          <w:szCs w:val="24"/>
        </w:rPr>
      </w:pPr>
    </w:p>
    <w:p w14:paraId="639252FC" w14:textId="77777777" w:rsidR="00BC77C6" w:rsidRPr="00E42799" w:rsidRDefault="00BC77C6" w:rsidP="00BC77C6">
      <w:pPr>
        <w:suppressAutoHyphens/>
        <w:spacing w:line="360" w:lineRule="atLeast"/>
        <w:ind w:firstLine="1985"/>
        <w:jc w:val="both"/>
        <w:rPr>
          <w:rFonts w:cs="Calibri"/>
          <w:b/>
          <w:bCs/>
          <w:sz w:val="24"/>
          <w:szCs w:val="24"/>
        </w:rPr>
      </w:pPr>
      <w:r w:rsidRPr="00E42799">
        <w:rPr>
          <w:rFonts w:cs="Calibri"/>
          <w:b/>
          <w:bCs/>
          <w:sz w:val="24"/>
          <w:szCs w:val="24"/>
        </w:rPr>
        <w:t>Neste ponto, cumpre destacar que os desembolsos para evolução das obras são realizados de forma antecipada. A primeira parcela é liberada no valor de 4%.</w:t>
      </w:r>
    </w:p>
    <w:p w14:paraId="7F8669EE" w14:textId="77777777" w:rsidR="00BC77C6" w:rsidRPr="00E42799" w:rsidRDefault="00BC77C6" w:rsidP="00BC77C6">
      <w:pPr>
        <w:suppressAutoHyphens/>
        <w:spacing w:line="360" w:lineRule="atLeast"/>
        <w:ind w:firstLine="1985"/>
        <w:jc w:val="both"/>
        <w:rPr>
          <w:rFonts w:cs="Calibri"/>
          <w:b/>
          <w:bCs/>
          <w:sz w:val="24"/>
          <w:szCs w:val="24"/>
        </w:rPr>
      </w:pPr>
    </w:p>
    <w:p w14:paraId="629ACE3D" w14:textId="77777777" w:rsidR="00BC77C6" w:rsidRPr="00E42799" w:rsidRDefault="00BC77C6" w:rsidP="00BC77C6">
      <w:pPr>
        <w:suppressAutoHyphens/>
        <w:spacing w:line="360" w:lineRule="atLeast"/>
        <w:ind w:firstLine="1985"/>
        <w:jc w:val="both"/>
        <w:rPr>
          <w:rFonts w:cs="Calibri"/>
          <w:b/>
          <w:bCs/>
          <w:sz w:val="24"/>
          <w:szCs w:val="24"/>
        </w:rPr>
      </w:pPr>
      <w:r w:rsidRPr="00E42799">
        <w:rPr>
          <w:rFonts w:cs="Calibri"/>
          <w:b/>
          <w:bCs/>
          <w:sz w:val="24"/>
          <w:szCs w:val="24"/>
        </w:rPr>
        <w:lastRenderedPageBreak/>
        <w:t>As demais parcelas, excetuando-se a última, poderão ser liberadas antecipadamente até o valor acumulado de 95%, condicionado a que a diferença entre o percentual acumulado das liberações, acrescido do percentual a ser liberado, e o percentual acumulado de execução da obra atestada seja de, no máximo, 4%. A última parcela não é antecipada, e corresponde a 5%, liberada somente quando da conclusão das obras.</w:t>
      </w:r>
    </w:p>
    <w:p w14:paraId="5A9DBD22" w14:textId="77777777" w:rsidR="00BC77C6" w:rsidRDefault="00BC77C6" w:rsidP="00BC77C6">
      <w:pPr>
        <w:suppressAutoHyphens/>
        <w:spacing w:line="360" w:lineRule="atLeast"/>
        <w:ind w:firstLine="1985"/>
        <w:jc w:val="both"/>
        <w:rPr>
          <w:rFonts w:cs="Calibri"/>
          <w:b/>
          <w:bCs/>
          <w:sz w:val="24"/>
          <w:szCs w:val="24"/>
          <w:u w:val="single"/>
        </w:rPr>
      </w:pPr>
    </w:p>
    <w:p w14:paraId="1F4E3F6E" w14:textId="3D7207B0" w:rsidR="00BC77C6" w:rsidRPr="00E42799" w:rsidRDefault="00BC77C6" w:rsidP="00BC77C6">
      <w:pPr>
        <w:suppressAutoHyphens/>
        <w:spacing w:line="360" w:lineRule="atLeast"/>
        <w:ind w:firstLine="1985"/>
        <w:jc w:val="both"/>
        <w:rPr>
          <w:rFonts w:cs="Calibri"/>
          <w:b/>
          <w:bCs/>
          <w:sz w:val="24"/>
          <w:szCs w:val="24"/>
          <w:u w:val="single"/>
        </w:rPr>
      </w:pPr>
      <w:r w:rsidRPr="00E42799">
        <w:rPr>
          <w:rFonts w:cs="Calibri"/>
          <w:b/>
          <w:bCs/>
          <w:sz w:val="24"/>
          <w:szCs w:val="24"/>
          <w:u w:val="single"/>
        </w:rPr>
        <w:t xml:space="preserve">Essa é a regulamentação do fluxo de pagamentos no PMCMV – Entidades. </w:t>
      </w:r>
    </w:p>
    <w:p w14:paraId="3965C746" w14:textId="77777777" w:rsidR="00BC77C6" w:rsidRDefault="00BC77C6" w:rsidP="00BC77C6">
      <w:pPr>
        <w:autoSpaceDE w:val="0"/>
        <w:autoSpaceDN w:val="0"/>
        <w:adjustRightInd w:val="0"/>
        <w:spacing w:line="360" w:lineRule="auto"/>
        <w:ind w:firstLine="2127"/>
        <w:jc w:val="both"/>
        <w:rPr>
          <w:rFonts w:cs="Calibri"/>
          <w:sz w:val="24"/>
          <w:szCs w:val="24"/>
        </w:rPr>
      </w:pPr>
    </w:p>
    <w:p w14:paraId="2695427A" w14:textId="706DA527" w:rsidR="00BC77C6" w:rsidRDefault="00BC77C6" w:rsidP="00BC77C6">
      <w:pPr>
        <w:autoSpaceDE w:val="0"/>
        <w:autoSpaceDN w:val="0"/>
        <w:adjustRightInd w:val="0"/>
        <w:spacing w:line="360" w:lineRule="auto"/>
        <w:ind w:firstLine="2127"/>
        <w:jc w:val="both"/>
        <w:rPr>
          <w:rFonts w:cs="Calibri"/>
          <w:sz w:val="24"/>
          <w:szCs w:val="24"/>
        </w:rPr>
      </w:pPr>
      <w:r>
        <w:rPr>
          <w:rFonts w:cs="Calibri"/>
          <w:sz w:val="24"/>
          <w:szCs w:val="24"/>
        </w:rPr>
        <w:t>Diante do exposto, no que se refere ao mérito das pretensões apresentadas pelo Autor, os fatos e fundamentos jurídicos postos evidenciam que a CAIXA não concorreu atraso de obra, tampouco foi omissa na fiscalização da obra ou procedeu com liberação de recursos de forma incompatível com as regras do programa.</w:t>
      </w:r>
    </w:p>
    <w:p w14:paraId="4724162A" w14:textId="77777777" w:rsidR="00BC77C6" w:rsidRDefault="00BC77C6" w:rsidP="00BC77C6">
      <w:pPr>
        <w:autoSpaceDE w:val="0"/>
        <w:autoSpaceDN w:val="0"/>
        <w:adjustRightInd w:val="0"/>
        <w:spacing w:line="360" w:lineRule="auto"/>
        <w:ind w:firstLine="2127"/>
        <w:jc w:val="both"/>
        <w:rPr>
          <w:rFonts w:cs="Calibri"/>
          <w:sz w:val="24"/>
          <w:szCs w:val="24"/>
        </w:rPr>
      </w:pPr>
    </w:p>
    <w:p w14:paraId="4E732CE9" w14:textId="77777777" w:rsidR="00BC77C6" w:rsidRDefault="00BC77C6" w:rsidP="00BC77C6">
      <w:pPr>
        <w:autoSpaceDE w:val="0"/>
        <w:autoSpaceDN w:val="0"/>
        <w:adjustRightInd w:val="0"/>
        <w:spacing w:line="360" w:lineRule="auto"/>
        <w:ind w:firstLine="2127"/>
        <w:jc w:val="both"/>
        <w:rPr>
          <w:rFonts w:cs="Calibri"/>
          <w:sz w:val="24"/>
          <w:szCs w:val="24"/>
        </w:rPr>
      </w:pPr>
      <w:r>
        <w:rPr>
          <w:rFonts w:cs="Calibri"/>
          <w:sz w:val="24"/>
          <w:szCs w:val="24"/>
        </w:rPr>
        <w:t xml:space="preserve">Por consequência, em caso de rejeição da questão preliminar posta no tópico anterior, a CAIXA requer sejam julgados improcedentes os pedidos deduzidos contra </w:t>
      </w:r>
      <w:proofErr w:type="gramStart"/>
      <w:r>
        <w:rPr>
          <w:rFonts w:cs="Calibri"/>
          <w:sz w:val="24"/>
          <w:szCs w:val="24"/>
        </w:rPr>
        <w:t>esta</w:t>
      </w:r>
      <w:proofErr w:type="gramEnd"/>
      <w:r>
        <w:rPr>
          <w:rFonts w:cs="Calibri"/>
          <w:sz w:val="24"/>
          <w:szCs w:val="24"/>
        </w:rPr>
        <w:t xml:space="preserve"> Promovida.</w:t>
      </w:r>
    </w:p>
    <w:p w14:paraId="338ED6D0" w14:textId="77777777" w:rsidR="00BC77C6" w:rsidRDefault="00BC77C6" w:rsidP="00BC77C6">
      <w:pPr>
        <w:autoSpaceDE w:val="0"/>
        <w:autoSpaceDN w:val="0"/>
        <w:adjustRightInd w:val="0"/>
        <w:spacing w:line="360" w:lineRule="auto"/>
        <w:ind w:firstLine="2127"/>
        <w:jc w:val="both"/>
      </w:pPr>
      <w:r>
        <w:rPr>
          <w:rFonts w:cs="Calibri"/>
          <w:sz w:val="24"/>
          <w:szCs w:val="24"/>
        </w:rPr>
        <w:t xml:space="preserve">Ademais, </w:t>
      </w:r>
      <w:r>
        <w:rPr>
          <w:b/>
          <w:bCs/>
        </w:rPr>
        <w:t xml:space="preserve">contratação realizada </w:t>
      </w:r>
      <w:r>
        <w:rPr>
          <w:b/>
          <w:bCs/>
          <w:i/>
          <w:iCs/>
        </w:rPr>
        <w:t>após a entrega das obras do empreendimento em questão</w:t>
      </w:r>
      <w:r>
        <w:rPr>
          <w:b/>
          <w:bCs/>
        </w:rPr>
        <w:t>, a justificar, inclusive, alegação de má-fé da parte autora, porquanto inadmissível qualquer alegação de dano decorrente de atraso na entrega de obras, tese que, aliás, afigura-se incompatível com a própria natureza do programa em referência, o que precisa ser claramente esclarecido ao Juízo.</w:t>
      </w:r>
    </w:p>
    <w:p w14:paraId="1B807DA7" w14:textId="77777777" w:rsidR="00BC77C6" w:rsidRPr="00F96CDB" w:rsidRDefault="00BC77C6" w:rsidP="00BC77C6">
      <w:pPr>
        <w:autoSpaceDE w:val="0"/>
        <w:autoSpaceDN w:val="0"/>
        <w:adjustRightInd w:val="0"/>
        <w:spacing w:line="360" w:lineRule="auto"/>
        <w:ind w:firstLine="2127"/>
        <w:jc w:val="both"/>
        <w:rPr>
          <w:rFonts w:cs="Calibri"/>
          <w:b/>
          <w:bCs/>
          <w:sz w:val="24"/>
          <w:szCs w:val="24"/>
          <w:u w:val="single"/>
        </w:rPr>
      </w:pPr>
      <w:r w:rsidRPr="00F96CDB">
        <w:rPr>
          <w:rFonts w:cs="Calibri"/>
          <w:b/>
          <w:bCs/>
          <w:sz w:val="24"/>
          <w:szCs w:val="24"/>
          <w:u w:val="single"/>
        </w:rPr>
        <w:t xml:space="preserve">Não há o que se falar em indenização por atraso na obra em contratos do PMCMV I, quando o contrato só e firmado quando o imóvel está PRONTO para ser entregue ao beneficiário. </w:t>
      </w:r>
    </w:p>
    <w:p w14:paraId="2B613A73" w14:textId="77777777" w:rsidR="00BC77C6" w:rsidRPr="00F96CDB" w:rsidRDefault="00BC77C6" w:rsidP="00BC77C6">
      <w:pPr>
        <w:autoSpaceDE w:val="0"/>
        <w:autoSpaceDN w:val="0"/>
        <w:adjustRightInd w:val="0"/>
        <w:spacing w:line="360" w:lineRule="auto"/>
        <w:ind w:firstLine="2127"/>
        <w:jc w:val="both"/>
        <w:rPr>
          <w:rFonts w:cs="Calibri"/>
          <w:sz w:val="24"/>
          <w:szCs w:val="24"/>
        </w:rPr>
      </w:pPr>
      <w:r w:rsidRPr="00F96CDB">
        <w:rPr>
          <w:rFonts w:cs="Calibri"/>
          <w:sz w:val="24"/>
          <w:szCs w:val="24"/>
        </w:rPr>
        <w:t>O Programa Minha Casa Minha Vida - PMCMV foi instituído com a finalidade de criar mecanismos de incentivo à produção e à aquisição de novas unidades habitacionais pelas famílias, conforme preconizado pela Lei federal nº 11.977/09, alterada pela Lei federal nº 12.424/2011, regulamentada pelo Decreto nº 7.499/11.</w:t>
      </w:r>
    </w:p>
    <w:p w14:paraId="4C0C0BE4" w14:textId="77777777" w:rsidR="00BC77C6" w:rsidRPr="00F96CDB" w:rsidRDefault="00BC77C6" w:rsidP="00BC77C6">
      <w:pPr>
        <w:autoSpaceDE w:val="0"/>
        <w:autoSpaceDN w:val="0"/>
        <w:adjustRightInd w:val="0"/>
        <w:spacing w:line="360" w:lineRule="auto"/>
        <w:ind w:firstLine="2127"/>
        <w:jc w:val="both"/>
        <w:rPr>
          <w:rFonts w:cs="Calibri"/>
          <w:sz w:val="24"/>
          <w:szCs w:val="24"/>
        </w:rPr>
      </w:pPr>
      <w:r w:rsidRPr="00F96CDB">
        <w:rPr>
          <w:rFonts w:cs="Calibri"/>
          <w:sz w:val="24"/>
          <w:szCs w:val="24"/>
        </w:rPr>
        <w:t>Não se deve olvidar, entretanto, que a Lei estabelece requisitos e etapas a serem cumpridas pelos cadastrados no programa. Entre elas, destaco que o contrato de financiamento somente é firmado entre o mutuário e a CEF após o sorteio dos contemplados pelo Município e análise da documentação do sorteado para fins de enquadramento nos requisitos do art. 3º da Lei 11.977/2009</w:t>
      </w:r>
    </w:p>
    <w:p w14:paraId="053119ED" w14:textId="77777777" w:rsidR="00BC77C6" w:rsidRPr="00F96CDB" w:rsidRDefault="00BC77C6" w:rsidP="00BC77C6">
      <w:pPr>
        <w:autoSpaceDE w:val="0"/>
        <w:autoSpaceDN w:val="0"/>
        <w:adjustRightInd w:val="0"/>
        <w:spacing w:line="360" w:lineRule="auto"/>
        <w:ind w:firstLine="2127"/>
        <w:jc w:val="both"/>
        <w:rPr>
          <w:rFonts w:cs="Calibri"/>
          <w:sz w:val="24"/>
          <w:szCs w:val="24"/>
        </w:rPr>
      </w:pPr>
      <w:r w:rsidRPr="00F96CDB">
        <w:rPr>
          <w:rFonts w:cs="Calibri"/>
          <w:sz w:val="24"/>
          <w:szCs w:val="24"/>
        </w:rPr>
        <w:t>Somente a partir da assinatura do contrato é que passaria a existir ter relação jurídica com os beneficiários.</w:t>
      </w:r>
    </w:p>
    <w:p w14:paraId="47BC4262" w14:textId="77777777" w:rsidR="00BC77C6" w:rsidRPr="00F96CDB" w:rsidRDefault="00BC77C6" w:rsidP="00BC77C6">
      <w:pPr>
        <w:autoSpaceDE w:val="0"/>
        <w:autoSpaceDN w:val="0"/>
        <w:adjustRightInd w:val="0"/>
        <w:spacing w:line="360" w:lineRule="auto"/>
        <w:ind w:firstLine="2127"/>
        <w:jc w:val="both"/>
        <w:rPr>
          <w:rFonts w:cs="Calibri"/>
          <w:sz w:val="24"/>
          <w:szCs w:val="24"/>
        </w:rPr>
      </w:pPr>
      <w:r w:rsidRPr="00F96CDB">
        <w:rPr>
          <w:rFonts w:cs="Calibri"/>
          <w:sz w:val="24"/>
          <w:szCs w:val="24"/>
        </w:rPr>
        <w:lastRenderedPageBreak/>
        <w:t>Logo, apenas o interesse jurídico da parte beneficiária no recebimento do imóvel nasceria apenas após ter sido comprovado o preenchimento dos requisitos legais e após contemplada com a unidade habitacional e convocada para entrega da documentação.</w:t>
      </w:r>
    </w:p>
    <w:p w14:paraId="1C4B86AA" w14:textId="77777777" w:rsidR="00BC77C6" w:rsidRPr="00F96CDB" w:rsidRDefault="00BC77C6" w:rsidP="00BC77C6">
      <w:pPr>
        <w:autoSpaceDE w:val="0"/>
        <w:autoSpaceDN w:val="0"/>
        <w:adjustRightInd w:val="0"/>
        <w:spacing w:line="360" w:lineRule="auto"/>
        <w:ind w:firstLine="2127"/>
        <w:jc w:val="both"/>
        <w:rPr>
          <w:rFonts w:cs="Calibri"/>
          <w:sz w:val="24"/>
          <w:szCs w:val="24"/>
        </w:rPr>
      </w:pPr>
      <w:r w:rsidRPr="00F96CDB">
        <w:rPr>
          <w:rFonts w:cs="Calibri"/>
          <w:sz w:val="24"/>
          <w:szCs w:val="24"/>
        </w:rPr>
        <w:t>O Poder Público participa do Programa a partir da assinatura do Termo de Adesão. Compete ao Ente Público encaminhar a relação dos candidatos selecionados somente após iniciada a obra e com previsão efetiva de entrega.</w:t>
      </w:r>
    </w:p>
    <w:p w14:paraId="1879F22A" w14:textId="77777777" w:rsidR="00BC77C6" w:rsidRPr="00F96CDB" w:rsidRDefault="00BC77C6" w:rsidP="00BC77C6">
      <w:pPr>
        <w:autoSpaceDE w:val="0"/>
        <w:autoSpaceDN w:val="0"/>
        <w:adjustRightInd w:val="0"/>
        <w:spacing w:line="360" w:lineRule="auto"/>
        <w:ind w:firstLine="2127"/>
        <w:jc w:val="both"/>
        <w:rPr>
          <w:rFonts w:cs="Calibri"/>
          <w:sz w:val="24"/>
          <w:szCs w:val="24"/>
        </w:rPr>
      </w:pPr>
      <w:r w:rsidRPr="00F96CDB">
        <w:rPr>
          <w:rFonts w:cs="Calibri"/>
          <w:sz w:val="24"/>
          <w:szCs w:val="24"/>
        </w:rPr>
        <w:t>A relação dos candidatos encaminhada pelo ente público passa por análise da Caixa/Fundo em relação ao enquadramento dos critérios exigidos e impedimentos para aprovação. O simples encaminhamento da relação de candidatos não garante o acesso ao benefício de forma automática, pois é necessária análise e aprovação do cadastro para compor a relação de beneficiários aprovados.</w:t>
      </w:r>
    </w:p>
    <w:p w14:paraId="194BF6E6" w14:textId="77777777" w:rsidR="00BC77C6" w:rsidRPr="00F96CDB" w:rsidRDefault="00BC77C6" w:rsidP="00BC77C6">
      <w:pPr>
        <w:autoSpaceDE w:val="0"/>
        <w:autoSpaceDN w:val="0"/>
        <w:adjustRightInd w:val="0"/>
        <w:spacing w:line="360" w:lineRule="auto"/>
        <w:ind w:firstLine="2127"/>
        <w:jc w:val="both"/>
        <w:rPr>
          <w:rFonts w:cs="Calibri"/>
          <w:sz w:val="24"/>
          <w:szCs w:val="24"/>
        </w:rPr>
      </w:pPr>
      <w:r w:rsidRPr="00F96CDB">
        <w:rPr>
          <w:rFonts w:cs="Calibri"/>
          <w:sz w:val="24"/>
          <w:szCs w:val="24"/>
        </w:rPr>
        <w:t>A aprovação do cadastro também não é garantia de destinação do imóvel.</w:t>
      </w:r>
    </w:p>
    <w:p w14:paraId="124B8D87" w14:textId="77777777" w:rsidR="00BC77C6" w:rsidRPr="00F96CDB" w:rsidRDefault="00BC77C6" w:rsidP="00BC77C6">
      <w:pPr>
        <w:autoSpaceDE w:val="0"/>
        <w:autoSpaceDN w:val="0"/>
        <w:adjustRightInd w:val="0"/>
        <w:spacing w:line="360" w:lineRule="auto"/>
        <w:ind w:firstLine="2127"/>
        <w:jc w:val="both"/>
        <w:rPr>
          <w:rFonts w:cs="Calibri"/>
          <w:sz w:val="24"/>
          <w:szCs w:val="24"/>
        </w:rPr>
      </w:pPr>
      <w:r w:rsidRPr="00F96CDB">
        <w:rPr>
          <w:rFonts w:cs="Calibri"/>
          <w:sz w:val="24"/>
          <w:szCs w:val="24"/>
        </w:rPr>
        <w:t>Geralmente os contratos são gerados somente quando da conclusão e entrega do empreendimento, quando foram assinados pelas partes, momento que inicia as suas obrigações.</w:t>
      </w:r>
    </w:p>
    <w:p w14:paraId="778141D1" w14:textId="77777777" w:rsidR="00BC77C6" w:rsidRPr="00F96CDB" w:rsidRDefault="00BC77C6" w:rsidP="00BC77C6">
      <w:pPr>
        <w:autoSpaceDE w:val="0"/>
        <w:autoSpaceDN w:val="0"/>
        <w:adjustRightInd w:val="0"/>
        <w:spacing w:line="360" w:lineRule="auto"/>
        <w:ind w:firstLine="2127"/>
        <w:jc w:val="both"/>
        <w:rPr>
          <w:rFonts w:cs="Calibri"/>
          <w:b/>
          <w:bCs/>
          <w:sz w:val="24"/>
          <w:szCs w:val="24"/>
        </w:rPr>
      </w:pPr>
      <w:r>
        <w:rPr>
          <w:rFonts w:cs="Calibri"/>
          <w:sz w:val="24"/>
          <w:szCs w:val="24"/>
        </w:rPr>
        <w:t xml:space="preserve">Reza o </w:t>
      </w:r>
      <w:r w:rsidRPr="00F96CDB">
        <w:rPr>
          <w:rFonts w:cs="Calibri"/>
          <w:sz w:val="24"/>
          <w:szCs w:val="24"/>
        </w:rPr>
        <w:t>art. 3º da Lei 11.977/2009:" a Lei estabelece requisitos e etapas a serem cumpridas pelos cadastrados no programa. Entre elas, destaco que o contrato de financiamento somente é firmado entre o mutuário e a CEF após o sorteio dos contemplados pelo Município e análise da documentação do sorteado para fins de enquadramento nos requisitos do art. 3º da Lei 11.977/2009", e que </w:t>
      </w:r>
      <w:r>
        <w:rPr>
          <w:rFonts w:cs="Calibri"/>
          <w:sz w:val="24"/>
          <w:szCs w:val="24"/>
        </w:rPr>
        <w:t xml:space="preserve"> </w:t>
      </w:r>
      <w:r w:rsidRPr="00F96CDB">
        <w:rPr>
          <w:rFonts w:cs="Calibri"/>
          <w:sz w:val="24"/>
          <w:szCs w:val="24"/>
        </w:rPr>
        <w:t>"somente a partir da assinatura do contrato é que o Fundo passa a ter relação jurídica com os mutuários e isso somente se processa após a finalização da construção do imóvel</w:t>
      </w:r>
      <w:r>
        <w:rPr>
          <w:rFonts w:cs="Calibri"/>
          <w:sz w:val="24"/>
          <w:szCs w:val="24"/>
        </w:rPr>
        <w:t xml:space="preserve"> </w:t>
      </w:r>
      <w:r w:rsidRPr="00F96CDB">
        <w:rPr>
          <w:rFonts w:cs="Calibri"/>
          <w:b/>
          <w:bCs/>
          <w:sz w:val="24"/>
          <w:szCs w:val="24"/>
        </w:rPr>
        <w:t>e o fato e que apenas após o imóvel PRONTO e assinado o contrato é que o Fundo passa a ter relação jurídica com os beneficiários, e isso só ocorre após a finalização da construção do imóvel.</w:t>
      </w:r>
    </w:p>
    <w:p w14:paraId="34C6DD99" w14:textId="77777777" w:rsidR="00BC77C6" w:rsidRDefault="00BC77C6" w:rsidP="00BC77C6">
      <w:pPr>
        <w:autoSpaceDE w:val="0"/>
        <w:autoSpaceDN w:val="0"/>
        <w:adjustRightInd w:val="0"/>
        <w:spacing w:line="360" w:lineRule="auto"/>
        <w:ind w:firstLine="2127"/>
        <w:jc w:val="both"/>
        <w:rPr>
          <w:rFonts w:cs="Calibri"/>
          <w:sz w:val="24"/>
          <w:szCs w:val="24"/>
        </w:rPr>
      </w:pPr>
    </w:p>
    <w:p w14:paraId="4C2FF4FF" w14:textId="77777777" w:rsidR="00BC77C6" w:rsidRPr="00E42799" w:rsidRDefault="00BC77C6" w:rsidP="00BC77C6">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cs="Calibri"/>
          <w:b/>
          <w:bCs/>
          <w:sz w:val="24"/>
          <w:szCs w:val="24"/>
        </w:rPr>
      </w:pPr>
      <w:r w:rsidRPr="00E42799">
        <w:rPr>
          <w:rFonts w:cs="Calibri"/>
          <w:b/>
          <w:bCs/>
          <w:sz w:val="24"/>
          <w:szCs w:val="24"/>
        </w:rPr>
        <w:t>4.2 DA IMPOSSIBILIDADE DE APLICAÇÃO DAS NORMAS DO CDC PARA FUNDAMENTAR A RESPONSABILIDADE ATRIBUÍDA À CAIXA. PROGRAMA MINHA CASA MINHA VIDA- ENTIDADES – IMPLANTAÇÃO DE POLÍTICA PÚBLICA</w:t>
      </w:r>
    </w:p>
    <w:p w14:paraId="66D6C03D" w14:textId="77777777" w:rsidR="00BC77C6" w:rsidRPr="00E42799" w:rsidRDefault="00BC77C6" w:rsidP="00BC77C6">
      <w:pPr>
        <w:autoSpaceDE w:val="0"/>
        <w:autoSpaceDN w:val="0"/>
        <w:adjustRightInd w:val="0"/>
        <w:spacing w:line="360" w:lineRule="auto"/>
        <w:jc w:val="both"/>
        <w:rPr>
          <w:rFonts w:cs="Calibri"/>
          <w:b/>
          <w:bCs/>
          <w:sz w:val="24"/>
          <w:szCs w:val="24"/>
        </w:rPr>
      </w:pPr>
    </w:p>
    <w:p w14:paraId="5799C9B0" w14:textId="77777777" w:rsidR="00BC77C6" w:rsidRPr="00E42799" w:rsidRDefault="00BC77C6" w:rsidP="00BC77C6">
      <w:pPr>
        <w:autoSpaceDE w:val="0"/>
        <w:autoSpaceDN w:val="0"/>
        <w:adjustRightInd w:val="0"/>
        <w:spacing w:line="360" w:lineRule="auto"/>
        <w:ind w:firstLine="2127"/>
        <w:jc w:val="both"/>
        <w:rPr>
          <w:rFonts w:cs="Calibri"/>
          <w:sz w:val="24"/>
          <w:szCs w:val="24"/>
        </w:rPr>
      </w:pPr>
      <w:r w:rsidRPr="00E42799">
        <w:rPr>
          <w:rFonts w:cs="Calibri"/>
          <w:sz w:val="24"/>
          <w:szCs w:val="24"/>
        </w:rPr>
        <w:t xml:space="preserve">Cumpre esclarecer que a natureza jurídica do </w:t>
      </w:r>
      <w:r w:rsidRPr="00273D03">
        <w:rPr>
          <w:rFonts w:cs="Calibri"/>
          <w:b/>
          <w:bCs/>
          <w:sz w:val="24"/>
          <w:szCs w:val="24"/>
        </w:rPr>
        <w:t>Programa Minha Casa Minha Vida</w:t>
      </w:r>
      <w:r>
        <w:rPr>
          <w:rFonts w:cs="Calibri"/>
          <w:b/>
          <w:bCs/>
          <w:sz w:val="24"/>
          <w:szCs w:val="24"/>
        </w:rPr>
        <w:t xml:space="preserve"> – FAIXA I – </w:t>
      </w:r>
      <w:proofErr w:type="gramStart"/>
      <w:r>
        <w:rPr>
          <w:rFonts w:cs="Calibri"/>
          <w:b/>
          <w:bCs/>
          <w:sz w:val="24"/>
          <w:szCs w:val="24"/>
        </w:rPr>
        <w:t xml:space="preserve">FDS </w:t>
      </w:r>
      <w:r w:rsidRPr="00273D03">
        <w:rPr>
          <w:rFonts w:cs="Calibri"/>
          <w:b/>
          <w:bCs/>
          <w:sz w:val="24"/>
          <w:szCs w:val="24"/>
        </w:rPr>
        <w:t xml:space="preserve"> –</w:t>
      </w:r>
      <w:proofErr w:type="gramEnd"/>
      <w:r w:rsidRPr="00273D03">
        <w:rPr>
          <w:rFonts w:cs="Calibri"/>
          <w:b/>
          <w:bCs/>
          <w:sz w:val="24"/>
          <w:szCs w:val="24"/>
        </w:rPr>
        <w:t xml:space="preserve"> Entidades</w:t>
      </w:r>
      <w:r w:rsidRPr="00E42799">
        <w:rPr>
          <w:rFonts w:cs="Calibri"/>
          <w:sz w:val="24"/>
          <w:szCs w:val="24"/>
        </w:rPr>
        <w:t xml:space="preserve"> e de política pública de habitação do Governo Federal, não podendo ser confundido com típica relação de consumo albergada pelo CDC. </w:t>
      </w:r>
    </w:p>
    <w:p w14:paraId="41DB437F" w14:textId="77777777" w:rsidR="00BC77C6" w:rsidRPr="00E42799" w:rsidRDefault="00BC77C6" w:rsidP="00BC77C6">
      <w:pPr>
        <w:autoSpaceDE w:val="0"/>
        <w:autoSpaceDN w:val="0"/>
        <w:adjustRightInd w:val="0"/>
        <w:spacing w:line="360" w:lineRule="auto"/>
        <w:ind w:firstLine="2268"/>
        <w:jc w:val="both"/>
        <w:rPr>
          <w:rFonts w:cs="Calibri"/>
          <w:sz w:val="24"/>
          <w:szCs w:val="24"/>
        </w:rPr>
      </w:pPr>
    </w:p>
    <w:p w14:paraId="1E3E4C5A" w14:textId="77777777" w:rsidR="00690CB6" w:rsidRDefault="00690CB6" w:rsidP="00BC77C6">
      <w:pPr>
        <w:autoSpaceDE w:val="0"/>
        <w:autoSpaceDN w:val="0"/>
        <w:adjustRightInd w:val="0"/>
        <w:spacing w:line="360" w:lineRule="auto"/>
        <w:ind w:firstLine="2268"/>
        <w:jc w:val="both"/>
        <w:rPr>
          <w:rFonts w:cs="Calibri"/>
          <w:sz w:val="24"/>
          <w:szCs w:val="24"/>
        </w:rPr>
      </w:pPr>
    </w:p>
    <w:p w14:paraId="48382018" w14:textId="77777777" w:rsidR="00690CB6" w:rsidRDefault="00690CB6" w:rsidP="00BC77C6">
      <w:pPr>
        <w:autoSpaceDE w:val="0"/>
        <w:autoSpaceDN w:val="0"/>
        <w:adjustRightInd w:val="0"/>
        <w:spacing w:line="360" w:lineRule="auto"/>
        <w:ind w:firstLine="2268"/>
        <w:jc w:val="both"/>
        <w:rPr>
          <w:rFonts w:cs="Calibri"/>
          <w:sz w:val="24"/>
          <w:szCs w:val="24"/>
        </w:rPr>
      </w:pPr>
    </w:p>
    <w:p w14:paraId="13B941D2" w14:textId="5703CF64" w:rsidR="00BC77C6" w:rsidRPr="00E42799" w:rsidRDefault="00BC77C6" w:rsidP="00BC77C6">
      <w:pPr>
        <w:autoSpaceDE w:val="0"/>
        <w:autoSpaceDN w:val="0"/>
        <w:adjustRightInd w:val="0"/>
        <w:spacing w:line="360" w:lineRule="auto"/>
        <w:ind w:firstLine="2268"/>
        <w:jc w:val="both"/>
        <w:rPr>
          <w:rFonts w:cs="Calibri"/>
          <w:sz w:val="24"/>
          <w:szCs w:val="24"/>
        </w:rPr>
      </w:pPr>
      <w:r w:rsidRPr="00E42799">
        <w:rPr>
          <w:rFonts w:cs="Calibri"/>
          <w:sz w:val="24"/>
          <w:szCs w:val="24"/>
        </w:rPr>
        <w:t>Contudo, no programa social em questão não há as figuras de consumidor nem fornecedor; tampouco prestador de serviços ou produtos negociados, mas apenas a entrega de um imóvel edificado com recursos públicos, mediante subsídios e subvenções, a um beneficiário assim identificado em regular processo de seleção e classificação.</w:t>
      </w:r>
    </w:p>
    <w:p w14:paraId="451ED13B" w14:textId="77777777" w:rsidR="00BC77C6" w:rsidRPr="00E42799" w:rsidRDefault="00BC77C6" w:rsidP="00BC77C6">
      <w:pPr>
        <w:autoSpaceDE w:val="0"/>
        <w:autoSpaceDN w:val="0"/>
        <w:adjustRightInd w:val="0"/>
        <w:spacing w:line="360" w:lineRule="auto"/>
        <w:ind w:firstLine="2268"/>
        <w:jc w:val="both"/>
        <w:rPr>
          <w:rFonts w:cs="Calibri"/>
          <w:sz w:val="24"/>
          <w:szCs w:val="24"/>
        </w:rPr>
      </w:pPr>
    </w:p>
    <w:p w14:paraId="4A4DAA43" w14:textId="77777777" w:rsidR="00BC77C6" w:rsidRPr="00E42799" w:rsidRDefault="00BC77C6" w:rsidP="00BC77C6">
      <w:pPr>
        <w:autoSpaceDE w:val="0"/>
        <w:autoSpaceDN w:val="0"/>
        <w:adjustRightInd w:val="0"/>
        <w:spacing w:line="360" w:lineRule="auto"/>
        <w:ind w:firstLine="2268"/>
        <w:jc w:val="both"/>
        <w:rPr>
          <w:rFonts w:cs="Calibri"/>
          <w:sz w:val="24"/>
          <w:szCs w:val="24"/>
        </w:rPr>
      </w:pPr>
      <w:r w:rsidRPr="00E42799">
        <w:rPr>
          <w:rFonts w:cs="Calibri"/>
          <w:sz w:val="24"/>
          <w:szCs w:val="24"/>
        </w:rPr>
        <w:t>Por conta disso, a jurisprudência vem pacificando e corroborando o</w:t>
      </w:r>
    </w:p>
    <w:p w14:paraId="2089A069" w14:textId="77777777" w:rsidR="00BC77C6" w:rsidRPr="00E42799" w:rsidRDefault="00BC77C6" w:rsidP="00BC77C6">
      <w:pPr>
        <w:autoSpaceDE w:val="0"/>
        <w:autoSpaceDN w:val="0"/>
        <w:adjustRightInd w:val="0"/>
        <w:spacing w:line="360" w:lineRule="auto"/>
        <w:jc w:val="both"/>
        <w:rPr>
          <w:rFonts w:cs="Calibri"/>
          <w:sz w:val="24"/>
          <w:szCs w:val="24"/>
        </w:rPr>
      </w:pPr>
      <w:r w:rsidRPr="00E42799">
        <w:rPr>
          <w:rFonts w:cs="Calibri"/>
          <w:sz w:val="24"/>
          <w:szCs w:val="24"/>
        </w:rPr>
        <w:t>entendimento de que neste tipo de ação é indevida a aplicação dos dispositivos do CDC:</w:t>
      </w:r>
    </w:p>
    <w:p w14:paraId="5ADBAE57" w14:textId="77777777" w:rsidR="00BC77C6" w:rsidRPr="00E42799" w:rsidRDefault="00BC77C6" w:rsidP="00BC77C6">
      <w:pPr>
        <w:autoSpaceDE w:val="0"/>
        <w:autoSpaceDN w:val="0"/>
        <w:adjustRightInd w:val="0"/>
        <w:spacing w:line="360" w:lineRule="auto"/>
        <w:jc w:val="both"/>
        <w:rPr>
          <w:rFonts w:cs="Calibri"/>
          <w:sz w:val="24"/>
          <w:szCs w:val="24"/>
        </w:rPr>
      </w:pPr>
    </w:p>
    <w:p w14:paraId="38BC2369" w14:textId="77777777" w:rsidR="00BC77C6" w:rsidRPr="00E42799" w:rsidRDefault="00BC77C6" w:rsidP="00BC77C6">
      <w:pPr>
        <w:autoSpaceDE w:val="0"/>
        <w:autoSpaceDN w:val="0"/>
        <w:adjustRightInd w:val="0"/>
        <w:spacing w:line="360" w:lineRule="auto"/>
        <w:ind w:left="2268"/>
        <w:jc w:val="both"/>
        <w:rPr>
          <w:rFonts w:cs="Calibri"/>
          <w:sz w:val="24"/>
          <w:szCs w:val="24"/>
        </w:rPr>
      </w:pPr>
      <w:r w:rsidRPr="00E42799">
        <w:rPr>
          <w:rFonts w:cs="Calibri"/>
        </w:rPr>
        <w:t>“</w:t>
      </w:r>
      <w:r w:rsidRPr="00E42799">
        <w:rPr>
          <w:rFonts w:cs="Calibri"/>
          <w:b/>
          <w:bCs/>
        </w:rPr>
        <w:t xml:space="preserve">CIVIL. PROCESSUAL CIVIL. APELAÇÃO CÍVEL. MÚTUO HABITACIONAL VINCULADO AO PMCMV. (...). NORMAS DO CDC: INAPLICABILIDADE. </w:t>
      </w:r>
      <w:r w:rsidRPr="00E42799">
        <w:rPr>
          <w:rFonts w:cs="Calibri"/>
        </w:rPr>
        <w:t xml:space="preserve">(...). 1. O Programa Minha Casa Minha Vida e regrado pela Lei no 11.977/2009 que, em seu artigo 9o, expressamente confere a CEF a gestão dos recursos destinados ao Programa Nacional de </w:t>
      </w:r>
      <w:proofErr w:type="spellStart"/>
      <w:r w:rsidRPr="00E42799">
        <w:rPr>
          <w:rFonts w:cs="Calibri"/>
        </w:rPr>
        <w:t>Habitacao</w:t>
      </w:r>
      <w:proofErr w:type="spellEnd"/>
      <w:r w:rsidRPr="00E42799">
        <w:rPr>
          <w:rFonts w:cs="Calibri"/>
        </w:rPr>
        <w:t xml:space="preserve"> Urbana - PNHU, subprograma integrante daquele. 3. O Programa Minha Casa Minha Vida - PMCMV, regido pela Lei no 11.977/2009, consubstancia-se em um programa de Governo destinado a ampliar o acesso das populações mais carentes a moradia. 4. </w:t>
      </w:r>
      <w:r w:rsidRPr="00E42799">
        <w:rPr>
          <w:rFonts w:cs="Calibri"/>
          <w:b/>
          <w:bCs/>
        </w:rPr>
        <w:t>Impossível a aplicação das normas do Código de Defesa do Consumidor aos contratos vinculados ao PMCMV, na medida em que referidos contratos não caracterizam relação de consumo nem tampouco apresentam conotação de serviço bancário, mas sim consubstanciam-se em programa habitacional custeado com recursos público</w:t>
      </w:r>
      <w:r w:rsidRPr="00E42799">
        <w:rPr>
          <w:rFonts w:cs="Calibri"/>
        </w:rPr>
        <w:t xml:space="preserve">s. Precedente. (...). Apelação parcialmente provida. (AC 00061939820124036108, Relator Desembargador </w:t>
      </w:r>
      <w:proofErr w:type="spellStart"/>
      <w:r w:rsidRPr="00E42799">
        <w:rPr>
          <w:rFonts w:cs="Calibri"/>
        </w:rPr>
        <w:t>Helio</w:t>
      </w:r>
      <w:proofErr w:type="spellEnd"/>
      <w:r w:rsidRPr="00E42799">
        <w:rPr>
          <w:rFonts w:cs="Calibri"/>
        </w:rPr>
        <w:t xml:space="preserve"> Nogueira, 3a Turma do TRF3, publicado no DJe3 de 16/05/2017). </w:t>
      </w:r>
    </w:p>
    <w:p w14:paraId="24A74AE3" w14:textId="77777777" w:rsidR="00BC77C6" w:rsidRPr="00E42799" w:rsidRDefault="00BC77C6" w:rsidP="00BC77C6">
      <w:pPr>
        <w:autoSpaceDE w:val="0"/>
        <w:autoSpaceDN w:val="0"/>
        <w:adjustRightInd w:val="0"/>
        <w:spacing w:line="360" w:lineRule="auto"/>
        <w:ind w:firstLine="2268"/>
        <w:jc w:val="both"/>
        <w:rPr>
          <w:rFonts w:cs="Calibri"/>
          <w:sz w:val="24"/>
          <w:szCs w:val="24"/>
        </w:rPr>
      </w:pPr>
    </w:p>
    <w:p w14:paraId="40F0B4D7" w14:textId="77777777" w:rsidR="00BC77C6" w:rsidRPr="00E42799" w:rsidRDefault="00BC77C6" w:rsidP="00BC77C6">
      <w:pPr>
        <w:autoSpaceDE w:val="0"/>
        <w:autoSpaceDN w:val="0"/>
        <w:adjustRightInd w:val="0"/>
        <w:spacing w:line="360" w:lineRule="auto"/>
        <w:ind w:firstLine="2268"/>
        <w:jc w:val="both"/>
        <w:rPr>
          <w:rFonts w:cs="Calibri"/>
          <w:b/>
          <w:bCs/>
          <w:sz w:val="24"/>
          <w:szCs w:val="24"/>
        </w:rPr>
      </w:pPr>
      <w:r w:rsidRPr="00E42799">
        <w:rPr>
          <w:rFonts w:cs="Calibri"/>
          <w:sz w:val="24"/>
          <w:szCs w:val="24"/>
        </w:rPr>
        <w:t>Assim, resta evidente que eventual discussão relacionada ao programa deve ser tratada no âmbito do Direito Público</w:t>
      </w:r>
      <w:r w:rsidRPr="00E42799">
        <w:rPr>
          <w:rFonts w:cs="Calibri"/>
          <w:b/>
          <w:bCs/>
          <w:sz w:val="24"/>
          <w:szCs w:val="24"/>
        </w:rPr>
        <w:t xml:space="preserve">, afigurando-se descabido equiparar o programa social de habitação do Governo Federal direcionado às famílias de baixíssima renda com típicas relações de consumo a ensejar a aplicação do Código de Defesa do Consumidor, sem ressalvas. </w:t>
      </w:r>
    </w:p>
    <w:p w14:paraId="6D5675CB" w14:textId="77777777" w:rsidR="00BC77C6" w:rsidRPr="00E42799" w:rsidRDefault="00BC77C6" w:rsidP="00BC77C6">
      <w:pPr>
        <w:autoSpaceDE w:val="0"/>
        <w:autoSpaceDN w:val="0"/>
        <w:adjustRightInd w:val="0"/>
        <w:spacing w:line="360" w:lineRule="auto"/>
        <w:ind w:firstLine="2268"/>
        <w:jc w:val="both"/>
        <w:rPr>
          <w:rFonts w:cs="Calibri"/>
          <w:b/>
          <w:bCs/>
          <w:sz w:val="24"/>
          <w:szCs w:val="24"/>
        </w:rPr>
      </w:pPr>
    </w:p>
    <w:p w14:paraId="28F1D6D9" w14:textId="77777777" w:rsidR="00BC77C6" w:rsidRPr="00E42799" w:rsidRDefault="00BC77C6" w:rsidP="00BC77C6">
      <w:pPr>
        <w:autoSpaceDE w:val="0"/>
        <w:autoSpaceDN w:val="0"/>
        <w:adjustRightInd w:val="0"/>
        <w:spacing w:line="360" w:lineRule="auto"/>
        <w:ind w:firstLine="2268"/>
        <w:jc w:val="both"/>
        <w:rPr>
          <w:rFonts w:cs="Calibri"/>
          <w:b/>
          <w:bCs/>
          <w:sz w:val="24"/>
          <w:szCs w:val="24"/>
        </w:rPr>
      </w:pPr>
      <w:r w:rsidRPr="00E42799">
        <w:rPr>
          <w:rFonts w:cs="Calibri"/>
          <w:b/>
          <w:bCs/>
          <w:sz w:val="24"/>
          <w:szCs w:val="24"/>
        </w:rPr>
        <w:t xml:space="preserve">Além disso, a pretensão direta do processo é o ressarcimento do erário (recursos desembolsados pelo FDS à EO) e retomada do empreendimento habitacional. Logo, apenas </w:t>
      </w:r>
      <w:r>
        <w:rPr>
          <w:rFonts w:cs="Calibri"/>
          <w:b/>
          <w:bCs/>
          <w:sz w:val="24"/>
          <w:szCs w:val="24"/>
        </w:rPr>
        <w:t>indiretamente o objeto da lide reflete nos</w:t>
      </w:r>
      <w:r w:rsidRPr="00E42799">
        <w:rPr>
          <w:rFonts w:cs="Calibri"/>
          <w:b/>
          <w:bCs/>
          <w:sz w:val="24"/>
          <w:szCs w:val="24"/>
        </w:rPr>
        <w:t xml:space="preserve"> contratos individuais de aquisição </w:t>
      </w:r>
      <w:r>
        <w:rPr>
          <w:rFonts w:cs="Calibri"/>
          <w:b/>
          <w:bCs/>
          <w:sz w:val="24"/>
          <w:szCs w:val="24"/>
        </w:rPr>
        <w:t>dos imóveis</w:t>
      </w:r>
      <w:r w:rsidRPr="00E42799">
        <w:rPr>
          <w:rFonts w:cs="Calibri"/>
          <w:b/>
          <w:bCs/>
          <w:sz w:val="24"/>
          <w:szCs w:val="24"/>
        </w:rPr>
        <w:t>.</w:t>
      </w:r>
    </w:p>
    <w:p w14:paraId="60CBFE19" w14:textId="77777777" w:rsidR="00BC77C6" w:rsidRPr="00E42799" w:rsidRDefault="00BC77C6" w:rsidP="00BC77C6">
      <w:pPr>
        <w:autoSpaceDE w:val="0"/>
        <w:autoSpaceDN w:val="0"/>
        <w:adjustRightInd w:val="0"/>
        <w:spacing w:line="360" w:lineRule="auto"/>
        <w:ind w:firstLine="2268"/>
        <w:jc w:val="both"/>
        <w:rPr>
          <w:rFonts w:cs="Calibri"/>
          <w:b/>
          <w:bCs/>
          <w:sz w:val="24"/>
          <w:szCs w:val="24"/>
        </w:rPr>
      </w:pPr>
    </w:p>
    <w:p w14:paraId="0CDFF8ED" w14:textId="77777777" w:rsidR="00BC77C6" w:rsidRPr="00E42799" w:rsidRDefault="00BC77C6" w:rsidP="00BC77C6">
      <w:pPr>
        <w:autoSpaceDE w:val="0"/>
        <w:autoSpaceDN w:val="0"/>
        <w:adjustRightInd w:val="0"/>
        <w:spacing w:line="360" w:lineRule="auto"/>
        <w:ind w:firstLine="2268"/>
        <w:jc w:val="both"/>
        <w:rPr>
          <w:rFonts w:cs="Calibri"/>
          <w:sz w:val="24"/>
          <w:szCs w:val="24"/>
        </w:rPr>
      </w:pPr>
      <w:r w:rsidRPr="00E42799">
        <w:rPr>
          <w:rFonts w:cs="Calibri"/>
          <w:b/>
          <w:bCs/>
          <w:sz w:val="24"/>
          <w:szCs w:val="24"/>
        </w:rPr>
        <w:t xml:space="preserve">Dessa forma, a CAIXA requer o indeferimento da responsabilidade objetiva que lhe foi atribuída pelo </w:t>
      </w:r>
      <w:r>
        <w:rPr>
          <w:rFonts w:cs="Calibri"/>
          <w:b/>
          <w:bCs/>
          <w:sz w:val="24"/>
          <w:szCs w:val="24"/>
        </w:rPr>
        <w:t>AUTOR</w:t>
      </w:r>
      <w:r w:rsidRPr="00E42799">
        <w:rPr>
          <w:rFonts w:cs="Calibri"/>
          <w:b/>
          <w:bCs/>
          <w:sz w:val="24"/>
          <w:szCs w:val="24"/>
        </w:rPr>
        <w:t>, bem como seja afastada a aplicação da Súmula 297 ao caso em tela, tendo em vista que a pretensão da ação não diz respeito a relação de financiamento habitacional típica.</w:t>
      </w:r>
    </w:p>
    <w:p w14:paraId="075D4889" w14:textId="77777777" w:rsidR="00BC77C6" w:rsidRDefault="00BC77C6" w:rsidP="00BC77C6">
      <w:pPr>
        <w:autoSpaceDE w:val="0"/>
        <w:autoSpaceDN w:val="0"/>
        <w:adjustRightInd w:val="0"/>
        <w:spacing w:line="360" w:lineRule="auto"/>
        <w:ind w:firstLine="2268"/>
        <w:jc w:val="both"/>
        <w:rPr>
          <w:rFonts w:cs="Calibri"/>
          <w:b/>
          <w:bCs/>
          <w:sz w:val="24"/>
          <w:szCs w:val="24"/>
        </w:rPr>
      </w:pPr>
    </w:p>
    <w:p w14:paraId="20B4583C" w14:textId="50E586B7" w:rsidR="00BC77C6" w:rsidRPr="00A90019" w:rsidRDefault="00BC77C6" w:rsidP="00BC77C6">
      <w:pPr>
        <w:autoSpaceDE w:val="0"/>
        <w:autoSpaceDN w:val="0"/>
        <w:adjustRightInd w:val="0"/>
        <w:spacing w:line="360" w:lineRule="auto"/>
        <w:ind w:firstLine="2268"/>
        <w:jc w:val="both"/>
        <w:rPr>
          <w:rFonts w:cs="Calibri"/>
          <w:b/>
          <w:bCs/>
          <w:sz w:val="24"/>
          <w:szCs w:val="24"/>
        </w:rPr>
      </w:pPr>
      <w:r w:rsidRPr="00690CB6">
        <w:rPr>
          <w:rFonts w:cs="Calibri"/>
          <w:b/>
          <w:bCs/>
          <w:sz w:val="24"/>
          <w:szCs w:val="24"/>
          <w:u w:val="single"/>
        </w:rPr>
        <w:t>Salientamos ainda que, embora a CAIXA seja parte ilegítima para qualquer indenização por lucros cessantes/</w:t>
      </w:r>
      <w:r w:rsidR="00690CB6" w:rsidRPr="00690CB6">
        <w:rPr>
          <w:rFonts w:cs="Calibri"/>
          <w:b/>
          <w:bCs/>
          <w:sz w:val="24"/>
          <w:szCs w:val="24"/>
          <w:u w:val="single"/>
        </w:rPr>
        <w:t>d</w:t>
      </w:r>
      <w:r w:rsidRPr="00690CB6">
        <w:rPr>
          <w:rFonts w:cs="Calibri"/>
          <w:b/>
          <w:bCs/>
          <w:sz w:val="24"/>
          <w:szCs w:val="24"/>
          <w:u w:val="single"/>
        </w:rPr>
        <w:t xml:space="preserve">ano material e moral </w:t>
      </w:r>
      <w:r>
        <w:rPr>
          <w:rFonts w:cs="Calibri"/>
          <w:b/>
          <w:bCs/>
          <w:sz w:val="24"/>
          <w:szCs w:val="24"/>
        </w:rPr>
        <w:t>por eventual atraso de obra deve ser considerando também o julgamento que</w:t>
      </w:r>
      <w:r w:rsidRPr="00A90019">
        <w:rPr>
          <w:rFonts w:cs="Calibri"/>
          <w:b/>
          <w:bCs/>
          <w:sz w:val="24"/>
          <w:szCs w:val="24"/>
        </w:rPr>
        <w:t xml:space="preserve"> em pauta virtual ocorrida entre os dias 13.04 e 19.04, a TNU deu provimento ao PUIL 5001229-07.2019.4.04.7206 para considerar que o atraso na entrega da unidade imobiliária, por si só, não configura o dano moral </w:t>
      </w:r>
      <w:r w:rsidRPr="00F745C7">
        <w:rPr>
          <w:rFonts w:cs="Calibri"/>
          <w:b/>
          <w:bCs/>
          <w:i/>
          <w:iCs/>
          <w:sz w:val="24"/>
          <w:szCs w:val="24"/>
        </w:rPr>
        <w:t xml:space="preserve">in </w:t>
      </w:r>
      <w:proofErr w:type="spellStart"/>
      <w:r w:rsidRPr="00F745C7">
        <w:rPr>
          <w:rFonts w:cs="Calibri"/>
          <w:b/>
          <w:bCs/>
          <w:i/>
          <w:iCs/>
          <w:sz w:val="24"/>
          <w:szCs w:val="24"/>
        </w:rPr>
        <w:t>re</w:t>
      </w:r>
      <w:proofErr w:type="spellEnd"/>
      <w:r w:rsidRPr="00F745C7">
        <w:rPr>
          <w:rFonts w:cs="Calibri"/>
          <w:b/>
          <w:bCs/>
          <w:i/>
          <w:iCs/>
          <w:sz w:val="24"/>
          <w:szCs w:val="24"/>
        </w:rPr>
        <w:t xml:space="preserve"> </w:t>
      </w:r>
      <w:proofErr w:type="spellStart"/>
      <w:r w:rsidRPr="00F745C7">
        <w:rPr>
          <w:rFonts w:cs="Calibri"/>
          <w:b/>
          <w:bCs/>
          <w:i/>
          <w:iCs/>
          <w:sz w:val="24"/>
          <w:szCs w:val="24"/>
        </w:rPr>
        <w:t>ipsa</w:t>
      </w:r>
      <w:proofErr w:type="spellEnd"/>
      <w:r w:rsidRPr="00A90019">
        <w:rPr>
          <w:rFonts w:cs="Calibri"/>
          <w:b/>
          <w:bCs/>
          <w:sz w:val="24"/>
          <w:szCs w:val="24"/>
        </w:rPr>
        <w:t>.</w:t>
      </w:r>
    </w:p>
    <w:p w14:paraId="05E33E32" w14:textId="77777777" w:rsidR="00BC77C6" w:rsidRDefault="00BC77C6" w:rsidP="00BC77C6">
      <w:pPr>
        <w:spacing w:line="360" w:lineRule="auto"/>
        <w:jc w:val="both"/>
        <w:rPr>
          <w:rFonts w:cs="Calibri"/>
          <w:b/>
          <w:bCs/>
          <w:sz w:val="24"/>
          <w:szCs w:val="24"/>
        </w:rPr>
      </w:pPr>
    </w:p>
    <w:p w14:paraId="43575606" w14:textId="1688850A" w:rsidR="00BC77C6" w:rsidRPr="00CC67DC" w:rsidRDefault="00BC77C6" w:rsidP="00BC77C6">
      <w:pPr>
        <w:spacing w:line="360" w:lineRule="auto"/>
        <w:ind w:firstLine="708"/>
        <w:jc w:val="both"/>
        <w:rPr>
          <w:rFonts w:cs="Calibri"/>
          <w:sz w:val="24"/>
          <w:szCs w:val="24"/>
        </w:rPr>
      </w:pPr>
      <w:r>
        <w:rPr>
          <w:rFonts w:cs="Calibri"/>
          <w:b/>
          <w:bCs/>
          <w:sz w:val="24"/>
          <w:szCs w:val="24"/>
        </w:rPr>
        <w:t>- DOS PEDIDOS</w:t>
      </w:r>
    </w:p>
    <w:p w14:paraId="088C02E5" w14:textId="77777777" w:rsidR="00BC77C6" w:rsidRDefault="00BC77C6" w:rsidP="00BC77C6">
      <w:pPr>
        <w:spacing w:line="360" w:lineRule="auto"/>
        <w:ind w:firstLine="1701"/>
        <w:jc w:val="both"/>
        <w:rPr>
          <w:rFonts w:cs="Calibri"/>
          <w:sz w:val="24"/>
          <w:szCs w:val="24"/>
        </w:rPr>
      </w:pPr>
      <w:r w:rsidRPr="00CC67DC">
        <w:rPr>
          <w:rFonts w:cs="Calibri"/>
          <w:sz w:val="24"/>
          <w:szCs w:val="24"/>
        </w:rPr>
        <w:t>Diante do exposto, a CAIXA requer</w:t>
      </w:r>
      <w:r>
        <w:rPr>
          <w:rFonts w:cs="Calibri"/>
          <w:sz w:val="24"/>
          <w:szCs w:val="24"/>
        </w:rPr>
        <w:t>:</w:t>
      </w:r>
    </w:p>
    <w:p w14:paraId="04E492B2" w14:textId="77777777" w:rsidR="00BC77C6" w:rsidRPr="00690CB6" w:rsidRDefault="00BC77C6" w:rsidP="00BC77C6">
      <w:pPr>
        <w:numPr>
          <w:ilvl w:val="0"/>
          <w:numId w:val="23"/>
        </w:numPr>
        <w:spacing w:after="0" w:line="360" w:lineRule="auto"/>
        <w:ind w:left="0" w:firstLine="1701"/>
        <w:jc w:val="both"/>
        <w:rPr>
          <w:rFonts w:cs="Calibri"/>
          <w:sz w:val="24"/>
          <w:szCs w:val="24"/>
        </w:rPr>
      </w:pPr>
      <w:r w:rsidRPr="00B86347">
        <w:rPr>
          <w:rFonts w:cs="Calibri"/>
          <w:b/>
          <w:bCs/>
          <w:sz w:val="24"/>
          <w:szCs w:val="24"/>
        </w:rPr>
        <w:t>acolhimento da questão preliminar suscitada</w:t>
      </w:r>
      <w:r>
        <w:rPr>
          <w:rFonts w:cs="Calibri"/>
          <w:sz w:val="24"/>
          <w:szCs w:val="24"/>
        </w:rPr>
        <w:t xml:space="preserve">, declarando-se a CAIXA parte ilegítima para responder </w:t>
      </w:r>
      <w:proofErr w:type="spellStart"/>
      <w:r>
        <w:rPr>
          <w:rFonts w:cs="Calibri"/>
          <w:sz w:val="24"/>
          <w:szCs w:val="24"/>
        </w:rPr>
        <w:t>o</w:t>
      </w:r>
      <w:proofErr w:type="spellEnd"/>
      <w:r>
        <w:rPr>
          <w:rFonts w:cs="Calibri"/>
          <w:sz w:val="24"/>
          <w:szCs w:val="24"/>
        </w:rPr>
        <w:t xml:space="preserve"> processo, visto que o pedido de retomada das obras deve </w:t>
      </w:r>
      <w:r w:rsidRPr="000C4CEB">
        <w:rPr>
          <w:rFonts w:cs="Calibri"/>
          <w:b/>
          <w:bCs/>
          <w:sz w:val="24"/>
          <w:szCs w:val="24"/>
        </w:rPr>
        <w:t>ser deduzido contra a União</w:t>
      </w:r>
      <w:r>
        <w:rPr>
          <w:rFonts w:cs="Calibri"/>
          <w:sz w:val="24"/>
          <w:szCs w:val="24"/>
        </w:rPr>
        <w:t xml:space="preserve">. Dessa forma, nos termos dos </w:t>
      </w:r>
      <w:proofErr w:type="spellStart"/>
      <w:r>
        <w:rPr>
          <w:rFonts w:cs="Calibri"/>
          <w:sz w:val="24"/>
          <w:szCs w:val="24"/>
        </w:rPr>
        <w:t>arts</w:t>
      </w:r>
      <w:proofErr w:type="spellEnd"/>
      <w:r>
        <w:rPr>
          <w:rFonts w:cs="Calibri"/>
          <w:sz w:val="24"/>
          <w:szCs w:val="24"/>
        </w:rPr>
        <w:t xml:space="preserve">. 485, VI e 339 do CPC, requer a extinção do processo sem resolução de mérito em relação à CAIXA, excluindo-a da lide, </w:t>
      </w:r>
      <w:r w:rsidRPr="00A90019">
        <w:rPr>
          <w:rFonts w:cs="Calibri"/>
          <w:b/>
          <w:bCs/>
          <w:sz w:val="24"/>
          <w:szCs w:val="24"/>
        </w:rPr>
        <w:t>e intimação do AUTOR para promover a citação da União para integrar a lide.</w:t>
      </w:r>
    </w:p>
    <w:p w14:paraId="29321630" w14:textId="77777777" w:rsidR="00690CB6" w:rsidRPr="00690CB6" w:rsidRDefault="00690CB6" w:rsidP="00690CB6">
      <w:pPr>
        <w:spacing w:after="0" w:line="360" w:lineRule="auto"/>
        <w:ind w:left="1701"/>
        <w:jc w:val="both"/>
        <w:rPr>
          <w:rFonts w:cs="Calibri"/>
          <w:sz w:val="24"/>
          <w:szCs w:val="24"/>
        </w:rPr>
      </w:pPr>
    </w:p>
    <w:p w14:paraId="1A6D5ABA" w14:textId="7841EDF0" w:rsidR="00690CB6" w:rsidRDefault="00690CB6" w:rsidP="00BC77C6">
      <w:pPr>
        <w:numPr>
          <w:ilvl w:val="0"/>
          <w:numId w:val="23"/>
        </w:numPr>
        <w:spacing w:after="0" w:line="360" w:lineRule="auto"/>
        <w:ind w:left="0" w:firstLine="1701"/>
        <w:jc w:val="both"/>
        <w:rPr>
          <w:rFonts w:cs="Calibri"/>
          <w:sz w:val="24"/>
          <w:szCs w:val="24"/>
        </w:rPr>
      </w:pPr>
      <w:r>
        <w:rPr>
          <w:rFonts w:cs="Calibri"/>
          <w:b/>
          <w:bCs/>
          <w:sz w:val="24"/>
          <w:szCs w:val="24"/>
        </w:rPr>
        <w:t>O reconhecimento da PRESCRIÇÃO, uma vez que a conclusão total do empreendimento ocorreu em 17.01.2014, sendo certo que este seria o termo inicial para reclamação de qualquer indenização por danos materiais e morais, pelo prazo máximo de 05 anos (art. 27, CDC), de modo que está fulminada pela prescrição a pretensão autoral.</w:t>
      </w:r>
    </w:p>
    <w:p w14:paraId="4FDC7707" w14:textId="77777777" w:rsidR="00BC77C6" w:rsidRPr="00CC67DC" w:rsidRDefault="00BC77C6" w:rsidP="00BC77C6">
      <w:pPr>
        <w:spacing w:line="360" w:lineRule="auto"/>
        <w:ind w:left="2061"/>
        <w:jc w:val="both"/>
        <w:rPr>
          <w:rFonts w:cs="Calibri"/>
          <w:sz w:val="24"/>
          <w:szCs w:val="24"/>
        </w:rPr>
      </w:pPr>
    </w:p>
    <w:p w14:paraId="57CF2281" w14:textId="77777777" w:rsidR="00BC77C6" w:rsidRPr="00CC67DC" w:rsidRDefault="00BC77C6" w:rsidP="00BC77C6">
      <w:pPr>
        <w:spacing w:line="360" w:lineRule="auto"/>
        <w:ind w:firstLine="1701"/>
        <w:jc w:val="both"/>
        <w:rPr>
          <w:rFonts w:cs="Calibri"/>
          <w:sz w:val="24"/>
          <w:szCs w:val="24"/>
        </w:rPr>
      </w:pPr>
      <w:r w:rsidRPr="00CC67DC">
        <w:rPr>
          <w:rFonts w:cs="Calibri"/>
          <w:sz w:val="24"/>
          <w:szCs w:val="24"/>
        </w:rPr>
        <w:t xml:space="preserve">b) o julgamento de improcedência de todos os pedidos que foram deduzidos </w:t>
      </w:r>
      <w:proofErr w:type="gramStart"/>
      <w:r w:rsidRPr="00CC67DC">
        <w:rPr>
          <w:rFonts w:cs="Calibri"/>
          <w:sz w:val="24"/>
          <w:szCs w:val="24"/>
        </w:rPr>
        <w:t>contra</w:t>
      </w:r>
      <w:r>
        <w:rPr>
          <w:rFonts w:cs="Calibri"/>
          <w:sz w:val="24"/>
          <w:szCs w:val="24"/>
        </w:rPr>
        <w:t xml:space="preserve">  a</w:t>
      </w:r>
      <w:proofErr w:type="gramEnd"/>
      <w:r>
        <w:rPr>
          <w:rFonts w:cs="Calibri"/>
          <w:sz w:val="24"/>
          <w:szCs w:val="24"/>
        </w:rPr>
        <w:t xml:space="preserve"> Caixa </w:t>
      </w:r>
      <w:r w:rsidRPr="00CC67DC">
        <w:rPr>
          <w:rFonts w:cs="Calibri"/>
          <w:sz w:val="24"/>
          <w:szCs w:val="24"/>
        </w:rPr>
        <w:t xml:space="preserve">, condenando-se o Autor nos ônus </w:t>
      </w:r>
      <w:proofErr w:type="spellStart"/>
      <w:r w:rsidRPr="00CC67DC">
        <w:rPr>
          <w:rFonts w:cs="Calibri"/>
          <w:sz w:val="24"/>
          <w:szCs w:val="24"/>
        </w:rPr>
        <w:t>da</w:t>
      </w:r>
      <w:proofErr w:type="spellEnd"/>
      <w:r w:rsidRPr="00CC67DC">
        <w:rPr>
          <w:rFonts w:cs="Calibri"/>
          <w:sz w:val="24"/>
          <w:szCs w:val="24"/>
        </w:rPr>
        <w:t xml:space="preserve"> sucumbência.</w:t>
      </w:r>
    </w:p>
    <w:p w14:paraId="406B9C55" w14:textId="77777777" w:rsidR="00BC77C6" w:rsidRPr="00CC67DC" w:rsidRDefault="00BC77C6" w:rsidP="00BC77C6">
      <w:pPr>
        <w:spacing w:line="360" w:lineRule="auto"/>
        <w:ind w:firstLine="1701"/>
        <w:jc w:val="both"/>
        <w:rPr>
          <w:rFonts w:cs="Calibri"/>
          <w:sz w:val="24"/>
          <w:szCs w:val="24"/>
        </w:rPr>
      </w:pPr>
    </w:p>
    <w:p w14:paraId="7B59512D" w14:textId="77777777" w:rsidR="00BC77C6" w:rsidRPr="00CC67DC" w:rsidRDefault="00BC77C6" w:rsidP="00BC77C6">
      <w:pPr>
        <w:spacing w:line="360" w:lineRule="auto"/>
        <w:ind w:firstLine="1701"/>
        <w:jc w:val="both"/>
        <w:rPr>
          <w:rFonts w:cs="Calibri"/>
          <w:sz w:val="24"/>
          <w:szCs w:val="24"/>
        </w:rPr>
      </w:pPr>
      <w:r w:rsidRPr="00CC67DC">
        <w:rPr>
          <w:rFonts w:cs="Calibri"/>
          <w:sz w:val="24"/>
          <w:szCs w:val="24"/>
        </w:rPr>
        <w:t>Protesta provar o alegado por todos os meios admitidos em direito, especialmente juntada de documentos e oitiva de depoimentos de testemunha e representantes dos Corréus.</w:t>
      </w:r>
    </w:p>
    <w:p w14:paraId="54810512" w14:textId="77777777" w:rsidR="00BC77C6" w:rsidRDefault="00BC77C6" w:rsidP="00BC77C6">
      <w:pPr>
        <w:spacing w:before="200" w:after="200" w:line="240" w:lineRule="auto"/>
        <w:rPr>
          <w:rFonts w:cs="Calibri"/>
          <w:b/>
          <w:bCs/>
          <w:u w:val="single"/>
        </w:rPr>
      </w:pPr>
    </w:p>
    <w:p w14:paraId="02D2B9DA" w14:textId="72A956B1" w:rsidR="004767F5" w:rsidRPr="00E848F1" w:rsidRDefault="00291592" w:rsidP="00690CB6">
      <w:pPr>
        <w:spacing w:before="200" w:after="200" w:line="240" w:lineRule="auto"/>
        <w:ind w:firstLine="708"/>
        <w:jc w:val="both"/>
        <w:rPr>
          <w:rFonts w:ascii="Arial" w:hAnsi="Arial" w:cs="Arial"/>
          <w:b/>
          <w:bCs/>
          <w:noProof/>
          <w:sz w:val="24"/>
          <w:szCs w:val="24"/>
          <w:u w:val="single"/>
        </w:rPr>
      </w:pPr>
      <w:r w:rsidRPr="00E848F1">
        <w:rPr>
          <w:rFonts w:ascii="Arial" w:hAnsi="Arial" w:cs="Arial"/>
          <w:noProof/>
          <w:sz w:val="24"/>
          <w:szCs w:val="24"/>
        </w:rPr>
        <w:lastRenderedPageBreak/>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w:t>
      </w:r>
      <w:r w:rsidRPr="00E848F1">
        <w:rPr>
          <w:rFonts w:ascii="Arial" w:hAnsi="Arial" w:cs="Arial"/>
          <w:b/>
          <w:bCs/>
          <w:noProof/>
          <w:sz w:val="24"/>
          <w:szCs w:val="24"/>
          <w:u w:val="single"/>
        </w:rPr>
        <w:t>Dr. JOÃO ALVES BARBOSA FILHO, inscrito sob o nº OAB/RS 90657-A, sob pena de nulidade das mesmas.</w:t>
      </w:r>
    </w:p>
    <w:p w14:paraId="0A02439E" w14:textId="328A3C56" w:rsidR="004767F5" w:rsidRDefault="00291592" w:rsidP="00291592">
      <w:pPr>
        <w:spacing w:before="200" w:after="200" w:line="240" w:lineRule="auto"/>
        <w:jc w:val="both"/>
        <w:rPr>
          <w:rFonts w:cs="Calibri"/>
          <w:sz w:val="20"/>
          <w:szCs w:val="20"/>
        </w:rPr>
      </w:pPr>
      <w:r>
        <w:rPr>
          <w:rFonts w:cs="Calibri"/>
          <w:sz w:val="20"/>
          <w:szCs w:val="20"/>
        </w:rPr>
        <w:t> </w:t>
      </w:r>
    </w:p>
    <w:p w14:paraId="2848D490" w14:textId="523E15F9" w:rsidR="004767F5" w:rsidRDefault="00291592">
      <w:pPr>
        <w:spacing w:before="200" w:after="200" w:line="240" w:lineRule="auto"/>
        <w:jc w:val="center"/>
        <w:rPr>
          <w:rFonts w:cs="Calibri"/>
          <w:sz w:val="20"/>
          <w:szCs w:val="20"/>
        </w:rPr>
      </w:pPr>
      <w:r>
        <w:rPr>
          <w:rFonts w:cs="Calibri"/>
        </w:rPr>
        <w:t>Nestes Termos,</w:t>
      </w:r>
      <w:r>
        <w:rPr>
          <w:rFonts w:cs="Calibri"/>
        </w:rPr>
        <w:br/>
        <w:t> Pede Deferimento,</w:t>
      </w:r>
      <w:r>
        <w:rPr>
          <w:rFonts w:cs="Calibri"/>
        </w:rPr>
        <w:br/>
      </w:r>
      <w:r>
        <w:rPr>
          <w:rFonts w:cs="Calibri"/>
        </w:rPr>
        <w:br/>
      </w:r>
      <w:r w:rsidR="00690CB6">
        <w:rPr>
          <w:rFonts w:cs="Calibri"/>
        </w:rPr>
        <w:t>BENTO GONÇALVES</w:t>
      </w:r>
      <w:r>
        <w:rPr>
          <w:rFonts w:cs="Calibri"/>
        </w:rPr>
        <w:t xml:space="preserve">, </w:t>
      </w:r>
      <w:r w:rsidR="00690CB6">
        <w:rPr>
          <w:rFonts w:cs="Calibri"/>
        </w:rPr>
        <w:t>10</w:t>
      </w:r>
      <w:r>
        <w:rPr>
          <w:rFonts w:cs="Calibri"/>
        </w:rPr>
        <w:t xml:space="preserve"> de </w:t>
      </w:r>
      <w:proofErr w:type="gramStart"/>
      <w:r w:rsidR="00690CB6">
        <w:rPr>
          <w:rFonts w:cs="Calibri"/>
        </w:rPr>
        <w:t>Julho</w:t>
      </w:r>
      <w:proofErr w:type="gramEnd"/>
      <w:r>
        <w:rPr>
          <w:rFonts w:cs="Calibri"/>
        </w:rPr>
        <w:t xml:space="preserve"> de 2023.</w:t>
      </w:r>
      <w:r>
        <w:rPr>
          <w:rFonts w:cs="Calibri"/>
        </w:rPr>
        <w:br/>
      </w:r>
      <w:r>
        <w:rPr>
          <w:rFonts w:cs="Calibri"/>
        </w:rPr>
        <w:br/>
      </w:r>
      <w:r>
        <w:rPr>
          <w:rFonts w:cs="Calibri"/>
          <w:b/>
          <w:bCs/>
        </w:rPr>
        <w:t>JOÃO BARBOSA</w:t>
      </w:r>
      <w:r>
        <w:rPr>
          <w:rFonts w:cs="Calibri"/>
          <w:b/>
          <w:bCs/>
        </w:rPr>
        <w:br/>
        <w:t>OAB/RS 90657-A</w:t>
      </w:r>
      <w:r>
        <w:rPr>
          <w:rFonts w:cs="Calibri"/>
          <w:b/>
          <w:bCs/>
        </w:rPr>
        <w:br/>
      </w:r>
      <w:r>
        <w:rPr>
          <w:rFonts w:cs="Calibri"/>
          <w:sz w:val="20"/>
          <w:szCs w:val="20"/>
        </w:rPr>
        <w:t> </w:t>
      </w:r>
    </w:p>
    <w:p w14:paraId="0D0F5B3A" w14:textId="77777777" w:rsidR="004767F5" w:rsidRDefault="00291592">
      <w:pPr>
        <w:spacing w:before="200" w:after="200" w:line="240" w:lineRule="auto"/>
        <w:jc w:val="center"/>
        <w:rPr>
          <w:rFonts w:cs="Calibri"/>
          <w:sz w:val="20"/>
          <w:szCs w:val="20"/>
        </w:rPr>
      </w:pPr>
      <w:r>
        <w:rPr>
          <w:rFonts w:cs="Calibri"/>
          <w:sz w:val="20"/>
          <w:szCs w:val="20"/>
        </w:rPr>
        <w:t> </w:t>
      </w:r>
    </w:p>
    <w:p w14:paraId="212B7B6A" w14:textId="77777777" w:rsidR="004767F5" w:rsidRDefault="00291592">
      <w:pPr>
        <w:spacing w:before="200" w:after="200" w:line="240" w:lineRule="auto"/>
        <w:jc w:val="center"/>
        <w:rPr>
          <w:rFonts w:cs="Calibri"/>
          <w:sz w:val="20"/>
          <w:szCs w:val="20"/>
        </w:rPr>
      </w:pPr>
      <w:r>
        <w:rPr>
          <w:rFonts w:cs="Calibri"/>
          <w:sz w:val="20"/>
          <w:szCs w:val="20"/>
        </w:rPr>
        <w:t> </w:t>
      </w:r>
    </w:p>
    <w:p w14:paraId="1C2A65F4" w14:textId="77777777" w:rsidR="004767F5" w:rsidRDefault="00291592">
      <w:pPr>
        <w:spacing w:before="200" w:after="200" w:line="240" w:lineRule="auto"/>
        <w:jc w:val="center"/>
        <w:rPr>
          <w:rFonts w:cs="Calibri"/>
          <w:sz w:val="20"/>
          <w:szCs w:val="20"/>
        </w:rPr>
      </w:pPr>
      <w:r>
        <w:rPr>
          <w:rFonts w:cs="Calibri"/>
          <w:sz w:val="20"/>
          <w:szCs w:val="20"/>
        </w:rPr>
        <w:t> </w:t>
      </w:r>
    </w:p>
    <w:sectPr w:rsidR="004767F5" w:rsidSect="0076787A">
      <w:footerReference w:type="default" r:id="rId12"/>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682BB" w14:textId="77777777" w:rsidR="00EC17A4" w:rsidRDefault="00EC17A4">
      <w:pPr>
        <w:spacing w:after="0" w:line="240" w:lineRule="auto"/>
      </w:pPr>
      <w:r>
        <w:separator/>
      </w:r>
    </w:p>
  </w:endnote>
  <w:endnote w:type="continuationSeparator" w:id="0">
    <w:p w14:paraId="6EF03CCC" w14:textId="77777777" w:rsidR="00EC17A4" w:rsidRDefault="00EC1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C33AF" w14:textId="77777777" w:rsidR="00EC17A4" w:rsidRDefault="00EC17A4" w:rsidP="00FE5317">
      <w:pPr>
        <w:spacing w:after="0" w:line="240" w:lineRule="auto"/>
      </w:pPr>
      <w:r>
        <w:separator/>
      </w:r>
    </w:p>
  </w:footnote>
  <w:footnote w:type="continuationSeparator" w:id="0">
    <w:p w14:paraId="75BD82E3" w14:textId="77777777" w:rsidR="00EC17A4" w:rsidRDefault="00EC17A4"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036318BE"/>
    <w:multiLevelType w:val="hybridMultilevel"/>
    <w:tmpl w:val="CCF45A56"/>
    <w:lvl w:ilvl="0" w:tplc="0416000F">
      <w:start w:val="1"/>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 w15:restartNumberingAfterBreak="0">
    <w:nsid w:val="08AF4E13"/>
    <w:multiLevelType w:val="hybridMultilevel"/>
    <w:tmpl w:val="00645138"/>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 w15:restartNumberingAfterBreak="0">
    <w:nsid w:val="17804386"/>
    <w:multiLevelType w:val="hybridMultilevel"/>
    <w:tmpl w:val="4CD85624"/>
    <w:lvl w:ilvl="0" w:tplc="76CA838E">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4" w15:restartNumberingAfterBreak="0">
    <w:nsid w:val="1BAB190E"/>
    <w:multiLevelType w:val="hybridMultilevel"/>
    <w:tmpl w:val="9282EAA8"/>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 w15:restartNumberingAfterBreak="0">
    <w:nsid w:val="1FCF72B2"/>
    <w:multiLevelType w:val="hybridMultilevel"/>
    <w:tmpl w:val="374A66E0"/>
    <w:lvl w:ilvl="0" w:tplc="0416000F">
      <w:start w:val="1"/>
      <w:numFmt w:val="decimal"/>
      <w:lvlText w:val="%1."/>
      <w:lvlJc w:val="left"/>
      <w:pPr>
        <w:ind w:left="720" w:hanging="360"/>
      </w:pPr>
    </w:lvl>
    <w:lvl w:ilvl="1" w:tplc="2C5A011E">
      <w:start w:val="1"/>
      <w:numFmt w:val="lowerRoman"/>
      <w:lvlText w:val="%2)"/>
      <w:lvlJc w:val="left"/>
      <w:pPr>
        <w:ind w:left="1800" w:hanging="720"/>
      </w:pPr>
      <w:rPr>
        <w:rFonts w:hint="default"/>
        <w:i/>
      </w:r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0813A48"/>
    <w:multiLevelType w:val="multilevel"/>
    <w:tmpl w:val="17C8B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4B7017"/>
    <w:multiLevelType w:val="hybridMultilevel"/>
    <w:tmpl w:val="6688F34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8" w15:restartNumberingAfterBreak="0">
    <w:nsid w:val="326769CB"/>
    <w:multiLevelType w:val="hybridMultilevel"/>
    <w:tmpl w:val="AB4AC594"/>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9" w15:restartNumberingAfterBreak="0">
    <w:nsid w:val="363E1793"/>
    <w:multiLevelType w:val="hybridMultilevel"/>
    <w:tmpl w:val="BD38995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92161CA"/>
    <w:multiLevelType w:val="hybridMultilevel"/>
    <w:tmpl w:val="A13E4432"/>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1" w15:restartNumberingAfterBreak="0">
    <w:nsid w:val="3EFF6DC5"/>
    <w:multiLevelType w:val="hybridMultilevel"/>
    <w:tmpl w:val="636C8BB2"/>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2" w15:restartNumberingAfterBreak="0">
    <w:nsid w:val="3F196926"/>
    <w:multiLevelType w:val="multilevel"/>
    <w:tmpl w:val="6E2C0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AC752A"/>
    <w:multiLevelType w:val="hybridMultilevel"/>
    <w:tmpl w:val="9488981A"/>
    <w:lvl w:ilvl="0" w:tplc="6942A2DE">
      <w:start w:val="1"/>
      <w:numFmt w:val="decimal"/>
      <w:lvlText w:val="%1."/>
      <w:lvlJc w:val="left"/>
      <w:pPr>
        <w:ind w:left="2487" w:hanging="360"/>
      </w:pPr>
      <w:rPr>
        <w:rFonts w:hint="default"/>
      </w:rPr>
    </w:lvl>
    <w:lvl w:ilvl="1" w:tplc="04160019" w:tentative="1">
      <w:start w:val="1"/>
      <w:numFmt w:val="lowerLetter"/>
      <w:lvlText w:val="%2."/>
      <w:lvlJc w:val="left"/>
      <w:pPr>
        <w:ind w:left="3207" w:hanging="360"/>
      </w:pPr>
    </w:lvl>
    <w:lvl w:ilvl="2" w:tplc="0416001B" w:tentative="1">
      <w:start w:val="1"/>
      <w:numFmt w:val="lowerRoman"/>
      <w:lvlText w:val="%3."/>
      <w:lvlJc w:val="right"/>
      <w:pPr>
        <w:ind w:left="3927" w:hanging="180"/>
      </w:pPr>
    </w:lvl>
    <w:lvl w:ilvl="3" w:tplc="0416000F" w:tentative="1">
      <w:start w:val="1"/>
      <w:numFmt w:val="decimal"/>
      <w:lvlText w:val="%4."/>
      <w:lvlJc w:val="left"/>
      <w:pPr>
        <w:ind w:left="4647" w:hanging="360"/>
      </w:pPr>
    </w:lvl>
    <w:lvl w:ilvl="4" w:tplc="04160019" w:tentative="1">
      <w:start w:val="1"/>
      <w:numFmt w:val="lowerLetter"/>
      <w:lvlText w:val="%5."/>
      <w:lvlJc w:val="left"/>
      <w:pPr>
        <w:ind w:left="5367" w:hanging="360"/>
      </w:pPr>
    </w:lvl>
    <w:lvl w:ilvl="5" w:tplc="0416001B" w:tentative="1">
      <w:start w:val="1"/>
      <w:numFmt w:val="lowerRoman"/>
      <w:lvlText w:val="%6."/>
      <w:lvlJc w:val="right"/>
      <w:pPr>
        <w:ind w:left="6087" w:hanging="180"/>
      </w:pPr>
    </w:lvl>
    <w:lvl w:ilvl="6" w:tplc="0416000F" w:tentative="1">
      <w:start w:val="1"/>
      <w:numFmt w:val="decimal"/>
      <w:lvlText w:val="%7."/>
      <w:lvlJc w:val="left"/>
      <w:pPr>
        <w:ind w:left="6807" w:hanging="360"/>
      </w:pPr>
    </w:lvl>
    <w:lvl w:ilvl="7" w:tplc="04160019" w:tentative="1">
      <w:start w:val="1"/>
      <w:numFmt w:val="lowerLetter"/>
      <w:lvlText w:val="%8."/>
      <w:lvlJc w:val="left"/>
      <w:pPr>
        <w:ind w:left="7527" w:hanging="360"/>
      </w:pPr>
    </w:lvl>
    <w:lvl w:ilvl="8" w:tplc="0416001B" w:tentative="1">
      <w:start w:val="1"/>
      <w:numFmt w:val="lowerRoman"/>
      <w:lvlText w:val="%9."/>
      <w:lvlJc w:val="right"/>
      <w:pPr>
        <w:ind w:left="8247" w:hanging="180"/>
      </w:pPr>
    </w:lvl>
  </w:abstractNum>
  <w:abstractNum w:abstractNumId="14" w15:restartNumberingAfterBreak="0">
    <w:nsid w:val="47F3728B"/>
    <w:multiLevelType w:val="hybridMultilevel"/>
    <w:tmpl w:val="C13CA96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48A6BDC"/>
    <w:multiLevelType w:val="multilevel"/>
    <w:tmpl w:val="59DCE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17" w15:restartNumberingAfterBreak="0">
    <w:nsid w:val="5D8F7BC8"/>
    <w:multiLevelType w:val="hybridMultilevel"/>
    <w:tmpl w:val="ACC445E8"/>
    <w:lvl w:ilvl="0" w:tplc="077C6C5E">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18"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19" w15:restartNumberingAfterBreak="0">
    <w:nsid w:val="6F613252"/>
    <w:multiLevelType w:val="multilevel"/>
    <w:tmpl w:val="38687194"/>
    <w:lvl w:ilvl="0">
      <w:start w:val="1"/>
      <w:numFmt w:val="decimal"/>
      <w:lvlText w:val="%1."/>
      <w:lvlJc w:val="left"/>
      <w:pPr>
        <w:ind w:left="2345" w:hanging="360"/>
      </w:pPr>
      <w:rPr>
        <w:rFonts w:hint="default"/>
      </w:rPr>
    </w:lvl>
    <w:lvl w:ilvl="1">
      <w:start w:val="1"/>
      <w:numFmt w:val="decimal"/>
      <w:isLgl/>
      <w:lvlText w:val="%1.%2."/>
      <w:lvlJc w:val="left"/>
      <w:pPr>
        <w:ind w:left="2705" w:hanging="720"/>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3065" w:hanging="108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425" w:hanging="144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785" w:hanging="1800"/>
      </w:pPr>
      <w:rPr>
        <w:rFonts w:hint="default"/>
      </w:rPr>
    </w:lvl>
    <w:lvl w:ilvl="8">
      <w:start w:val="1"/>
      <w:numFmt w:val="decimal"/>
      <w:isLgl/>
      <w:lvlText w:val="%1.%2.%3.%4.%5.%6.%7.%8.%9."/>
      <w:lvlJc w:val="left"/>
      <w:pPr>
        <w:ind w:left="3785" w:hanging="1800"/>
      </w:pPr>
      <w:rPr>
        <w:rFonts w:hint="default"/>
      </w:rPr>
    </w:lvl>
  </w:abstractNum>
  <w:abstractNum w:abstractNumId="20" w15:restartNumberingAfterBreak="0">
    <w:nsid w:val="761F53B7"/>
    <w:multiLevelType w:val="singleLevel"/>
    <w:tmpl w:val="04160017"/>
    <w:lvl w:ilvl="0">
      <w:start w:val="1"/>
      <w:numFmt w:val="lowerLetter"/>
      <w:lvlText w:val="%1)"/>
      <w:lvlJc w:val="left"/>
      <w:pPr>
        <w:tabs>
          <w:tab w:val="num" w:pos="360"/>
        </w:tabs>
        <w:ind w:left="360" w:hanging="360"/>
      </w:pPr>
    </w:lvl>
  </w:abstractNum>
  <w:abstractNum w:abstractNumId="21" w15:restartNumberingAfterBreak="0">
    <w:nsid w:val="7AE9195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C08098B"/>
    <w:multiLevelType w:val="hybridMultilevel"/>
    <w:tmpl w:val="B68C8C02"/>
    <w:lvl w:ilvl="0" w:tplc="04160001">
      <w:start w:val="1"/>
      <w:numFmt w:val="bullet"/>
      <w:lvlText w:val=""/>
      <w:lvlJc w:val="left"/>
      <w:pPr>
        <w:ind w:left="1068" w:hanging="360"/>
      </w:pPr>
      <w:rPr>
        <w:rFonts w:ascii="Symbol" w:hAnsi="Symbol" w:hint="default"/>
      </w:rPr>
    </w:lvl>
    <w:lvl w:ilvl="1" w:tplc="04160003">
      <w:start w:val="1"/>
      <w:numFmt w:val="bullet"/>
      <w:lvlText w:val="o"/>
      <w:lvlJc w:val="left"/>
      <w:pPr>
        <w:ind w:left="1788" w:hanging="360"/>
      </w:pPr>
      <w:rPr>
        <w:rFonts w:ascii="Courier New" w:hAnsi="Courier New" w:cs="Times New Roman" w:hint="default"/>
      </w:rPr>
    </w:lvl>
    <w:lvl w:ilvl="2" w:tplc="04160005">
      <w:start w:val="1"/>
      <w:numFmt w:val="bullet"/>
      <w:lvlText w:val=""/>
      <w:lvlJc w:val="left"/>
      <w:pPr>
        <w:ind w:left="2508" w:hanging="360"/>
      </w:pPr>
      <w:rPr>
        <w:rFonts w:ascii="Wingdings" w:hAnsi="Wingdings" w:hint="default"/>
      </w:rPr>
    </w:lvl>
    <w:lvl w:ilvl="3" w:tplc="04160001">
      <w:start w:val="1"/>
      <w:numFmt w:val="bullet"/>
      <w:lvlText w:val=""/>
      <w:lvlJc w:val="left"/>
      <w:pPr>
        <w:ind w:left="3228" w:hanging="360"/>
      </w:pPr>
      <w:rPr>
        <w:rFonts w:ascii="Symbol" w:hAnsi="Symbol" w:hint="default"/>
      </w:rPr>
    </w:lvl>
    <w:lvl w:ilvl="4" w:tplc="04160003">
      <w:start w:val="1"/>
      <w:numFmt w:val="bullet"/>
      <w:lvlText w:val="o"/>
      <w:lvlJc w:val="left"/>
      <w:pPr>
        <w:ind w:left="3948" w:hanging="360"/>
      </w:pPr>
      <w:rPr>
        <w:rFonts w:ascii="Courier New" w:hAnsi="Courier New" w:cs="Times New Roman" w:hint="default"/>
      </w:rPr>
    </w:lvl>
    <w:lvl w:ilvl="5" w:tplc="04160005">
      <w:start w:val="1"/>
      <w:numFmt w:val="bullet"/>
      <w:lvlText w:val=""/>
      <w:lvlJc w:val="left"/>
      <w:pPr>
        <w:ind w:left="4668" w:hanging="360"/>
      </w:pPr>
      <w:rPr>
        <w:rFonts w:ascii="Wingdings" w:hAnsi="Wingdings" w:hint="default"/>
      </w:rPr>
    </w:lvl>
    <w:lvl w:ilvl="6" w:tplc="04160001">
      <w:start w:val="1"/>
      <w:numFmt w:val="bullet"/>
      <w:lvlText w:val=""/>
      <w:lvlJc w:val="left"/>
      <w:pPr>
        <w:ind w:left="5388" w:hanging="360"/>
      </w:pPr>
      <w:rPr>
        <w:rFonts w:ascii="Symbol" w:hAnsi="Symbol" w:hint="default"/>
      </w:rPr>
    </w:lvl>
    <w:lvl w:ilvl="7" w:tplc="04160003">
      <w:start w:val="1"/>
      <w:numFmt w:val="bullet"/>
      <w:lvlText w:val="o"/>
      <w:lvlJc w:val="left"/>
      <w:pPr>
        <w:ind w:left="6108" w:hanging="360"/>
      </w:pPr>
      <w:rPr>
        <w:rFonts w:ascii="Courier New" w:hAnsi="Courier New" w:cs="Times New Roman" w:hint="default"/>
      </w:rPr>
    </w:lvl>
    <w:lvl w:ilvl="8" w:tplc="04160005">
      <w:start w:val="1"/>
      <w:numFmt w:val="bullet"/>
      <w:lvlText w:val=""/>
      <w:lvlJc w:val="left"/>
      <w:pPr>
        <w:ind w:left="6828" w:hanging="360"/>
      </w:pPr>
      <w:rPr>
        <w:rFonts w:ascii="Wingdings" w:hAnsi="Wingdings" w:hint="default"/>
      </w:rPr>
    </w:lvl>
  </w:abstractNum>
  <w:abstractNum w:abstractNumId="23" w15:restartNumberingAfterBreak="0">
    <w:nsid w:val="7D963DBE"/>
    <w:multiLevelType w:val="hybridMultilevel"/>
    <w:tmpl w:val="6C72F19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174879607">
    <w:abstractNumId w:val="0"/>
  </w:num>
  <w:num w:numId="2" w16cid:durableId="10215132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324274">
    <w:abstractNumId w:val="20"/>
    <w:lvlOverride w:ilvl="0">
      <w:startOverride w:val="1"/>
    </w:lvlOverride>
  </w:num>
  <w:num w:numId="4" w16cid:durableId="1924485367">
    <w:abstractNumId w:val="18"/>
    <w:lvlOverride w:ilvl="0">
      <w:startOverride w:val="1"/>
    </w:lvlOverride>
  </w:num>
  <w:num w:numId="5" w16cid:durableId="1397119574">
    <w:abstractNumId w:val="2"/>
  </w:num>
  <w:num w:numId="6" w16cid:durableId="1444688950">
    <w:abstractNumId w:val="4"/>
  </w:num>
  <w:num w:numId="7" w16cid:durableId="964626977">
    <w:abstractNumId w:val="7"/>
  </w:num>
  <w:num w:numId="8" w16cid:durableId="1202061584">
    <w:abstractNumId w:val="8"/>
  </w:num>
  <w:num w:numId="9" w16cid:durableId="1704162880">
    <w:abstractNumId w:val="10"/>
  </w:num>
  <w:num w:numId="10" w16cid:durableId="662270956">
    <w:abstractNumId w:val="22"/>
    <w:lvlOverride w:ilvl="0"/>
    <w:lvlOverride w:ilvl="1"/>
    <w:lvlOverride w:ilvl="2"/>
    <w:lvlOverride w:ilvl="3"/>
    <w:lvlOverride w:ilvl="4"/>
    <w:lvlOverride w:ilvl="5"/>
    <w:lvlOverride w:ilvl="6"/>
    <w:lvlOverride w:ilvl="7"/>
    <w:lvlOverride w:ilvl="8"/>
  </w:num>
  <w:num w:numId="11" w16cid:durableId="1734085741">
    <w:abstractNumId w:val="1"/>
  </w:num>
  <w:num w:numId="12" w16cid:durableId="1574241656">
    <w:abstractNumId w:val="14"/>
  </w:num>
  <w:num w:numId="13" w16cid:durableId="1837382764">
    <w:abstractNumId w:val="23"/>
  </w:num>
  <w:num w:numId="14" w16cid:durableId="965044751">
    <w:abstractNumId w:val="19"/>
  </w:num>
  <w:num w:numId="15" w16cid:durableId="156893608">
    <w:abstractNumId w:val="9"/>
  </w:num>
  <w:num w:numId="16" w16cid:durableId="1152403299">
    <w:abstractNumId w:val="6"/>
  </w:num>
  <w:num w:numId="17" w16cid:durableId="1642036501">
    <w:abstractNumId w:val="15"/>
  </w:num>
  <w:num w:numId="18" w16cid:durableId="1668940493">
    <w:abstractNumId w:val="12"/>
  </w:num>
  <w:num w:numId="19" w16cid:durableId="768818484">
    <w:abstractNumId w:val="13"/>
  </w:num>
  <w:num w:numId="20" w16cid:durableId="939528405">
    <w:abstractNumId w:val="17"/>
  </w:num>
  <w:num w:numId="21" w16cid:durableId="1666325473">
    <w:abstractNumId w:val="21"/>
  </w:num>
  <w:num w:numId="22" w16cid:durableId="1015497076">
    <w:abstractNumId w:val="5"/>
  </w:num>
  <w:num w:numId="23" w16cid:durableId="1252815898">
    <w:abstractNumId w:val="3"/>
  </w:num>
  <w:num w:numId="24" w16cid:durableId="14017575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291592"/>
    <w:rsid w:val="00326B23"/>
    <w:rsid w:val="003349B7"/>
    <w:rsid w:val="0037684E"/>
    <w:rsid w:val="00387F34"/>
    <w:rsid w:val="003B651E"/>
    <w:rsid w:val="003F5DCE"/>
    <w:rsid w:val="00404C94"/>
    <w:rsid w:val="00410B39"/>
    <w:rsid w:val="004767F5"/>
    <w:rsid w:val="00486EBB"/>
    <w:rsid w:val="004B7983"/>
    <w:rsid w:val="0052134B"/>
    <w:rsid w:val="00530F86"/>
    <w:rsid w:val="005663F9"/>
    <w:rsid w:val="005869BC"/>
    <w:rsid w:val="005D4224"/>
    <w:rsid w:val="005E1F47"/>
    <w:rsid w:val="00606A04"/>
    <w:rsid w:val="00654BB2"/>
    <w:rsid w:val="00690CB6"/>
    <w:rsid w:val="006A71F7"/>
    <w:rsid w:val="006B1470"/>
    <w:rsid w:val="006F66E3"/>
    <w:rsid w:val="006F7A6B"/>
    <w:rsid w:val="00701612"/>
    <w:rsid w:val="0076787A"/>
    <w:rsid w:val="007B689A"/>
    <w:rsid w:val="007D7A98"/>
    <w:rsid w:val="007E1F86"/>
    <w:rsid w:val="00873596"/>
    <w:rsid w:val="008E1AB2"/>
    <w:rsid w:val="008F7080"/>
    <w:rsid w:val="00956E0D"/>
    <w:rsid w:val="009A636B"/>
    <w:rsid w:val="009B2A7D"/>
    <w:rsid w:val="009D3C6C"/>
    <w:rsid w:val="009E3B76"/>
    <w:rsid w:val="00AF1F4A"/>
    <w:rsid w:val="00AF2960"/>
    <w:rsid w:val="00BC77C6"/>
    <w:rsid w:val="00BE42B5"/>
    <w:rsid w:val="00DA7787"/>
    <w:rsid w:val="00E67247"/>
    <w:rsid w:val="00E848F1"/>
    <w:rsid w:val="00EB6B0C"/>
    <w:rsid w:val="00EC17A4"/>
    <w:rsid w:val="00EC3A99"/>
    <w:rsid w:val="00F26943"/>
    <w:rsid w:val="00FA2C18"/>
    <w:rsid w:val="00FB0B62"/>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next w:val="Normal"/>
    <w:link w:val="Ttulo1Char"/>
    <w:qFormat/>
    <w:rsid w:val="00BC77C6"/>
    <w:pPr>
      <w:keepNext/>
      <w:spacing w:before="240" w:after="60" w:line="240" w:lineRule="auto"/>
      <w:outlineLvl w:val="0"/>
    </w:pPr>
    <w:rPr>
      <w:rFonts w:ascii="Arial" w:eastAsia="Times New Roman" w:hAnsi="Arial" w:cs="Arial"/>
      <w:b/>
      <w:bCs/>
      <w:kern w:val="32"/>
      <w:sz w:val="32"/>
      <w:szCs w:val="32"/>
      <w:lang w:eastAsia="pt-BR"/>
    </w:rPr>
  </w:style>
  <w:style w:type="paragraph" w:styleId="Ttulo2">
    <w:name w:val="heading 2"/>
    <w:basedOn w:val="Normal"/>
    <w:next w:val="Normal"/>
    <w:link w:val="Ttulo2Char"/>
    <w:qFormat/>
    <w:rsid w:val="00BC77C6"/>
    <w:pPr>
      <w:keepNext/>
      <w:spacing w:before="240" w:after="60" w:line="240" w:lineRule="auto"/>
      <w:outlineLvl w:val="1"/>
    </w:pPr>
    <w:rPr>
      <w:rFonts w:ascii="Arial" w:eastAsia="Times New Roman" w:hAnsi="Arial"/>
      <w:b/>
      <w:i/>
      <w:sz w:val="24"/>
      <w:szCs w:val="20"/>
      <w:lang w:eastAsia="pt-BR"/>
    </w:rPr>
  </w:style>
  <w:style w:type="paragraph" w:styleId="Ttulo3">
    <w:name w:val="heading 3"/>
    <w:basedOn w:val="Normal"/>
    <w:next w:val="Normal"/>
    <w:link w:val="Ttulo3Char"/>
    <w:unhideWhenUsed/>
    <w:qFormat/>
    <w:rsid w:val="00AF1F4A"/>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paragraph" w:styleId="Ttulo4">
    <w:name w:val="heading 4"/>
    <w:basedOn w:val="Normal"/>
    <w:next w:val="Normal"/>
    <w:link w:val="Ttulo4Char"/>
    <w:semiHidden/>
    <w:unhideWhenUsed/>
    <w:qFormat/>
    <w:rsid w:val="00BC77C6"/>
    <w:pPr>
      <w:keepNext/>
      <w:spacing w:before="240" w:after="60" w:line="240" w:lineRule="auto"/>
      <w:outlineLvl w:val="3"/>
    </w:pPr>
    <w:rPr>
      <w:rFonts w:eastAsia="Times New Roman"/>
      <w:b/>
      <w:bCs/>
      <w:sz w:val="28"/>
      <w:szCs w:val="28"/>
      <w:lang w:eastAsia="pt-BR"/>
    </w:rPr>
  </w:style>
  <w:style w:type="paragraph" w:styleId="Ttulo6">
    <w:name w:val="heading 6"/>
    <w:basedOn w:val="Normal"/>
    <w:next w:val="Normal"/>
    <w:link w:val="Ttulo6Char"/>
    <w:semiHidden/>
    <w:unhideWhenUsed/>
    <w:qFormat/>
    <w:rsid w:val="00BC77C6"/>
    <w:pPr>
      <w:spacing w:before="240" w:after="60" w:line="240" w:lineRule="auto"/>
      <w:outlineLvl w:val="5"/>
    </w:pPr>
    <w:rPr>
      <w:rFonts w:eastAsia="Times New Roman"/>
      <w:b/>
      <w:bCs/>
      <w:lang w:eastAsia="pt-BR"/>
    </w:rPr>
  </w:style>
  <w:style w:type="paragraph" w:styleId="Ttulo7">
    <w:name w:val="heading 7"/>
    <w:basedOn w:val="Normal"/>
    <w:next w:val="Normal"/>
    <w:link w:val="Ttulo7Char"/>
    <w:semiHidden/>
    <w:unhideWhenUsed/>
    <w:qFormat/>
    <w:rsid w:val="00BC77C6"/>
    <w:pPr>
      <w:spacing w:before="240" w:after="60" w:line="240" w:lineRule="auto"/>
      <w:outlineLvl w:val="6"/>
    </w:pPr>
    <w:rPr>
      <w:rFonts w:eastAsia="Times New Roman"/>
      <w:sz w:val="24"/>
      <w:szCs w:val="24"/>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semiHidden/>
    <w:unhideWhenUsed/>
  </w:style>
  <w:style w:type="paragraph" w:styleId="Cabealho">
    <w:name w:val="header"/>
    <w:basedOn w:val="Normal"/>
    <w:link w:val="CabealhoChar"/>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character" w:customStyle="1" w:styleId="Ttulo3Char">
    <w:name w:val="Título 3 Char"/>
    <w:basedOn w:val="Fontepargpadro"/>
    <w:link w:val="Ttulo3"/>
    <w:semiHidden/>
    <w:rsid w:val="00AF1F4A"/>
    <w:rPr>
      <w:rFonts w:asciiTheme="majorHAnsi" w:eastAsiaTheme="majorEastAsia" w:hAnsiTheme="majorHAnsi" w:cstheme="majorBidi"/>
      <w:color w:val="243F60" w:themeColor="accent1" w:themeShade="7F"/>
      <w:sz w:val="24"/>
      <w:szCs w:val="24"/>
    </w:rPr>
  </w:style>
  <w:style w:type="paragraph" w:styleId="Corpodetexto">
    <w:name w:val="Body Text"/>
    <w:basedOn w:val="Normal"/>
    <w:link w:val="CorpodetextoChar"/>
    <w:rsid w:val="00AF1F4A"/>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rsid w:val="00AF1F4A"/>
    <w:rPr>
      <w:rFonts w:ascii="Arial" w:eastAsia="Batang" w:hAnsi="Arial"/>
      <w:sz w:val="28"/>
    </w:rPr>
  </w:style>
  <w:style w:type="paragraph" w:styleId="Recuodecorpodetexto3">
    <w:name w:val="Body Text Indent 3"/>
    <w:basedOn w:val="Normal"/>
    <w:link w:val="Recuodecorpodetexto3Char"/>
    <w:rsid w:val="00AF1F4A"/>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F1F4A"/>
    <w:rPr>
      <w:rFonts w:ascii="Times New Roman" w:eastAsia="Batang" w:hAnsi="Times New Roman"/>
      <w:sz w:val="16"/>
      <w:szCs w:val="16"/>
    </w:rPr>
  </w:style>
  <w:style w:type="table" w:styleId="Tabelacomgrade">
    <w:name w:val="Table Grid"/>
    <w:basedOn w:val="Tabelanormal"/>
    <w:rsid w:val="00AF1F4A"/>
    <w:rPr>
      <w:rFonts w:ascii="Times New Roman" w:eastAsia="Batang"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AF1F4A"/>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AF1F4A"/>
    <w:rPr>
      <w:rFonts w:ascii="Times New Roman" w:eastAsia="Batang" w:hAnsi="Times New Roman"/>
    </w:rPr>
  </w:style>
  <w:style w:type="paragraph" w:styleId="Recuodecorpodetexto2">
    <w:name w:val="Body Text Indent 2"/>
    <w:basedOn w:val="Normal"/>
    <w:link w:val="Recuodecorpodetexto2Char"/>
    <w:rsid w:val="00AF1F4A"/>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AF1F4A"/>
    <w:rPr>
      <w:rFonts w:ascii="Times New Roman" w:eastAsia="Batang" w:hAnsi="Times New Roman"/>
    </w:rPr>
  </w:style>
  <w:style w:type="paragraph" w:styleId="PargrafodaLista">
    <w:name w:val="List Paragraph"/>
    <w:basedOn w:val="Normal"/>
    <w:link w:val="PargrafodaListaChar"/>
    <w:uiPriority w:val="34"/>
    <w:qFormat/>
    <w:rsid w:val="00AF1F4A"/>
    <w:pPr>
      <w:spacing w:after="0" w:line="240" w:lineRule="auto"/>
      <w:ind w:left="720"/>
      <w:contextualSpacing/>
    </w:pPr>
    <w:rPr>
      <w:rFonts w:ascii="Times New Roman" w:eastAsia="Batang" w:hAnsi="Times New Roman"/>
      <w:sz w:val="20"/>
      <w:szCs w:val="20"/>
      <w:lang w:eastAsia="pt-BR"/>
    </w:rPr>
  </w:style>
  <w:style w:type="paragraph" w:styleId="Textoembloco">
    <w:name w:val="Block Text"/>
    <w:basedOn w:val="Normal"/>
    <w:rsid w:val="00AF1F4A"/>
    <w:pPr>
      <w:spacing w:after="0" w:line="240" w:lineRule="auto"/>
      <w:ind w:left="1080" w:right="393"/>
      <w:jc w:val="both"/>
    </w:pPr>
    <w:rPr>
      <w:rFonts w:ascii="Courier New" w:eastAsia="Arial Unicode MS" w:hAnsi="Courier New" w:cs="Courier New"/>
      <w:b/>
      <w:bCs/>
      <w:lang w:eastAsia="pt-BR"/>
    </w:rPr>
  </w:style>
  <w:style w:type="paragraph" w:customStyle="1" w:styleId="citao">
    <w:name w:val="citação"/>
    <w:basedOn w:val="Normal"/>
    <w:rsid w:val="00AF1F4A"/>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character" w:customStyle="1" w:styleId="par00c1grafochar1">
    <w:name w:val="par_00c1grafo__char1"/>
    <w:rsid w:val="00AF1F4A"/>
    <w:rPr>
      <w:rFonts w:ascii="Times New Roman" w:hAnsi="Times New Roman" w:cs="Times New Roman" w:hint="default"/>
      <w:spacing w:val="0"/>
      <w:sz w:val="24"/>
      <w:szCs w:val="24"/>
    </w:rPr>
  </w:style>
  <w:style w:type="character" w:customStyle="1" w:styleId="PargrafodaListaChar">
    <w:name w:val="Parágrafo da Lista Char"/>
    <w:link w:val="PargrafodaLista"/>
    <w:uiPriority w:val="1"/>
    <w:qFormat/>
    <w:rsid w:val="00AF1F4A"/>
    <w:rPr>
      <w:rFonts w:ascii="Times New Roman" w:eastAsia="Batang" w:hAnsi="Times New Roman"/>
    </w:rPr>
  </w:style>
  <w:style w:type="character" w:customStyle="1" w:styleId="Ttulo1Char">
    <w:name w:val="Título 1 Char"/>
    <w:basedOn w:val="Fontepargpadro"/>
    <w:link w:val="Ttulo1"/>
    <w:rsid w:val="00BC77C6"/>
    <w:rPr>
      <w:rFonts w:ascii="Arial" w:eastAsia="Times New Roman" w:hAnsi="Arial" w:cs="Arial"/>
      <w:b/>
      <w:bCs/>
      <w:kern w:val="32"/>
      <w:sz w:val="32"/>
      <w:szCs w:val="32"/>
    </w:rPr>
  </w:style>
  <w:style w:type="character" w:customStyle="1" w:styleId="Ttulo2Char">
    <w:name w:val="Título 2 Char"/>
    <w:basedOn w:val="Fontepargpadro"/>
    <w:link w:val="Ttulo2"/>
    <w:rsid w:val="00BC77C6"/>
    <w:rPr>
      <w:rFonts w:ascii="Arial" w:eastAsia="Times New Roman" w:hAnsi="Arial"/>
      <w:b/>
      <w:i/>
      <w:sz w:val="24"/>
    </w:rPr>
  </w:style>
  <w:style w:type="character" w:customStyle="1" w:styleId="Ttulo4Char">
    <w:name w:val="Título 4 Char"/>
    <w:basedOn w:val="Fontepargpadro"/>
    <w:link w:val="Ttulo4"/>
    <w:semiHidden/>
    <w:rsid w:val="00BC77C6"/>
    <w:rPr>
      <w:rFonts w:eastAsia="Times New Roman"/>
      <w:b/>
      <w:bCs/>
      <w:sz w:val="28"/>
      <w:szCs w:val="28"/>
    </w:rPr>
  </w:style>
  <w:style w:type="character" w:customStyle="1" w:styleId="Ttulo6Char">
    <w:name w:val="Título 6 Char"/>
    <w:basedOn w:val="Fontepargpadro"/>
    <w:link w:val="Ttulo6"/>
    <w:semiHidden/>
    <w:rsid w:val="00BC77C6"/>
    <w:rPr>
      <w:rFonts w:eastAsia="Times New Roman"/>
      <w:b/>
      <w:bCs/>
      <w:sz w:val="22"/>
      <w:szCs w:val="22"/>
    </w:rPr>
  </w:style>
  <w:style w:type="character" w:customStyle="1" w:styleId="Ttulo7Char">
    <w:name w:val="Título 7 Char"/>
    <w:basedOn w:val="Fontepargpadro"/>
    <w:link w:val="Ttulo7"/>
    <w:semiHidden/>
    <w:rsid w:val="00BC77C6"/>
    <w:rPr>
      <w:rFonts w:eastAsia="Times New Roman"/>
      <w:sz w:val="24"/>
      <w:szCs w:val="24"/>
    </w:rPr>
  </w:style>
  <w:style w:type="character" w:customStyle="1" w:styleId="E667846">
    <w:name w:val="E667846"/>
    <w:semiHidden/>
    <w:rsid w:val="00BC77C6"/>
    <w:rPr>
      <w:rFonts w:ascii="Arial" w:hAnsi="Arial" w:cs="Arial"/>
      <w:color w:val="auto"/>
      <w:sz w:val="20"/>
      <w:szCs w:val="20"/>
    </w:rPr>
  </w:style>
  <w:style w:type="character" w:styleId="Nmerodepgina">
    <w:name w:val="page number"/>
    <w:basedOn w:val="Fontepargpadro"/>
    <w:rsid w:val="00BC77C6"/>
  </w:style>
  <w:style w:type="character" w:styleId="Hyperlink">
    <w:name w:val="Hyperlink"/>
    <w:rsid w:val="00BC77C6"/>
    <w:rPr>
      <w:color w:val="0000FF"/>
      <w:u w:val="single"/>
    </w:rPr>
  </w:style>
  <w:style w:type="paragraph" w:styleId="NormalWeb">
    <w:name w:val="Normal (Web)"/>
    <w:basedOn w:val="Normal"/>
    <w:uiPriority w:val="99"/>
    <w:rsid w:val="00BC77C6"/>
    <w:pPr>
      <w:spacing w:before="100" w:beforeAutospacing="1" w:after="100" w:afterAutospacing="1" w:line="240" w:lineRule="auto"/>
    </w:pPr>
    <w:rPr>
      <w:rFonts w:ascii="Times New Roman" w:eastAsia="Times New Roman" w:hAnsi="Times New Roman"/>
      <w:sz w:val="24"/>
      <w:szCs w:val="24"/>
      <w:lang w:eastAsia="pt-BR"/>
    </w:rPr>
  </w:style>
  <w:style w:type="character" w:styleId="Forte">
    <w:name w:val="Strong"/>
    <w:uiPriority w:val="22"/>
    <w:qFormat/>
    <w:rsid w:val="00BC77C6"/>
    <w:rPr>
      <w:b/>
      <w:bCs/>
    </w:rPr>
  </w:style>
  <w:style w:type="character" w:styleId="nfase">
    <w:name w:val="Emphasis"/>
    <w:uiPriority w:val="20"/>
    <w:qFormat/>
    <w:rsid w:val="00BC77C6"/>
    <w:rPr>
      <w:i/>
      <w:iCs/>
    </w:rPr>
  </w:style>
  <w:style w:type="paragraph" w:customStyle="1" w:styleId="Corpodetexto21">
    <w:name w:val="Corpo de texto 21"/>
    <w:basedOn w:val="Normal"/>
    <w:rsid w:val="00BC77C6"/>
    <w:pPr>
      <w:suppressAutoHyphens/>
      <w:spacing w:after="0" w:line="240" w:lineRule="auto"/>
      <w:jc w:val="both"/>
    </w:pPr>
    <w:rPr>
      <w:rFonts w:ascii="Arial" w:eastAsia="Times New Roman" w:hAnsi="Arial"/>
      <w:b/>
      <w:sz w:val="24"/>
      <w:szCs w:val="20"/>
      <w:lang w:eastAsia="ar-SA"/>
    </w:rPr>
  </w:style>
  <w:style w:type="paragraph" w:customStyle="1" w:styleId="ListParagraph">
    <w:name w:val="List Paragraph"/>
    <w:basedOn w:val="Normal"/>
    <w:rsid w:val="00BC77C6"/>
    <w:pPr>
      <w:spacing w:after="200" w:line="276" w:lineRule="auto"/>
      <w:ind w:left="720"/>
      <w:contextualSpacing/>
    </w:pPr>
    <w:rPr>
      <w:rFonts w:eastAsia="Times New Roman"/>
    </w:rPr>
  </w:style>
  <w:style w:type="paragraph" w:styleId="Corpodetexto2">
    <w:name w:val="Body Text 2"/>
    <w:basedOn w:val="Normal"/>
    <w:link w:val="Corpodetexto2Char"/>
    <w:rsid w:val="00BC77C6"/>
    <w:pPr>
      <w:spacing w:after="120" w:line="480" w:lineRule="auto"/>
    </w:pPr>
    <w:rPr>
      <w:rFonts w:ascii="Verdana" w:eastAsia="Times New Roman" w:hAnsi="Verdana"/>
      <w:szCs w:val="20"/>
      <w:lang w:eastAsia="pt-BR"/>
    </w:rPr>
  </w:style>
  <w:style w:type="character" w:customStyle="1" w:styleId="Corpodetexto2Char">
    <w:name w:val="Corpo de texto 2 Char"/>
    <w:basedOn w:val="Fontepargpadro"/>
    <w:link w:val="Corpodetexto2"/>
    <w:rsid w:val="00BC77C6"/>
    <w:rPr>
      <w:rFonts w:ascii="Verdana" w:eastAsia="Times New Roman" w:hAnsi="Verdana"/>
      <w:sz w:val="22"/>
    </w:rPr>
  </w:style>
  <w:style w:type="paragraph" w:styleId="AssinaturadeEmail">
    <w:name w:val="E-mail Signature"/>
    <w:basedOn w:val="Normal"/>
    <w:link w:val="AssinaturadeEmailChar"/>
    <w:rsid w:val="00BC77C6"/>
    <w:pPr>
      <w:spacing w:after="0" w:line="240" w:lineRule="auto"/>
    </w:pPr>
    <w:rPr>
      <w:rFonts w:ascii="Times New Roman" w:eastAsia="Times New Roman" w:hAnsi="Times New Roman"/>
      <w:sz w:val="24"/>
      <w:szCs w:val="24"/>
      <w:lang w:eastAsia="pt-BR"/>
    </w:rPr>
  </w:style>
  <w:style w:type="character" w:customStyle="1" w:styleId="AssinaturadeEmailChar">
    <w:name w:val="Assinatura de Email Char"/>
    <w:basedOn w:val="Fontepargpadro"/>
    <w:link w:val="AssinaturadeEmail"/>
    <w:rsid w:val="00BC77C6"/>
    <w:rPr>
      <w:rFonts w:ascii="Times New Roman" w:eastAsia="Times New Roman" w:hAnsi="Times New Roman"/>
      <w:sz w:val="24"/>
      <w:szCs w:val="24"/>
    </w:rPr>
  </w:style>
  <w:style w:type="paragraph" w:customStyle="1" w:styleId="texto">
    <w:name w:val="texto"/>
    <w:basedOn w:val="Normal"/>
    <w:rsid w:val="00BC77C6"/>
    <w:pPr>
      <w:spacing w:before="100" w:beforeAutospacing="1" w:after="100" w:afterAutospacing="1" w:line="240" w:lineRule="auto"/>
      <w:jc w:val="both"/>
    </w:pPr>
    <w:rPr>
      <w:rFonts w:ascii="Verdana" w:eastAsia="Arial Unicode MS" w:hAnsi="Verdana" w:cs="Arial Unicode MS"/>
      <w:color w:val="000000"/>
      <w:sz w:val="18"/>
      <w:szCs w:val="18"/>
      <w:lang w:eastAsia="pt-BR"/>
    </w:rPr>
  </w:style>
  <w:style w:type="paragraph" w:customStyle="1" w:styleId="name">
    <w:name w:val="name"/>
    <w:basedOn w:val="Normal"/>
    <w:rsid w:val="00BC77C6"/>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desc">
    <w:name w:val="desc"/>
    <w:basedOn w:val="Normal"/>
    <w:rsid w:val="00BC77C6"/>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artigo">
    <w:name w:val="artigo"/>
    <w:basedOn w:val="Normal"/>
    <w:rsid w:val="00BC77C6"/>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STF-Padro">
    <w:name w:val="STF-Padrão"/>
    <w:basedOn w:val="Normal"/>
    <w:uiPriority w:val="99"/>
    <w:rsid w:val="00BC77C6"/>
    <w:pPr>
      <w:widowControl w:val="0"/>
      <w:tabs>
        <w:tab w:val="left" w:pos="1701"/>
      </w:tabs>
      <w:autoSpaceDE w:val="0"/>
      <w:autoSpaceDN w:val="0"/>
      <w:adjustRightInd w:val="0"/>
      <w:spacing w:after="0" w:line="264" w:lineRule="auto"/>
      <w:ind w:firstLine="567"/>
      <w:jc w:val="both"/>
    </w:pPr>
    <w:rPr>
      <w:rFonts w:ascii="Palatino Linotype" w:eastAsia="Times New Roman" w:hAnsi="Times New Roman" w:cs="Palatino Linotype"/>
      <w:sz w:val="26"/>
      <w:szCs w:val="26"/>
      <w:lang w:eastAsia="pt-BR"/>
    </w:rPr>
  </w:style>
  <w:style w:type="paragraph" w:customStyle="1" w:styleId="STF-Citao1">
    <w:name w:val="STF-Citação1"/>
    <w:basedOn w:val="Normal"/>
    <w:uiPriority w:val="99"/>
    <w:rsid w:val="00BC77C6"/>
    <w:pPr>
      <w:widowControl w:val="0"/>
      <w:autoSpaceDE w:val="0"/>
      <w:autoSpaceDN w:val="0"/>
      <w:adjustRightInd w:val="0"/>
      <w:spacing w:after="0" w:line="264" w:lineRule="auto"/>
      <w:ind w:left="1701" w:firstLine="567"/>
      <w:jc w:val="both"/>
    </w:pPr>
    <w:rPr>
      <w:rFonts w:ascii="Palatino Linotype" w:eastAsia="Times New Roman" w:hAnsi="Times New Roman" w:cs="Palatino Linotype"/>
      <w:sz w:val="24"/>
      <w:szCs w:val="24"/>
      <w:lang w:eastAsia="pt-BR"/>
    </w:rPr>
  </w:style>
  <w:style w:type="paragraph" w:styleId="Textodebalo">
    <w:name w:val="Balloon Text"/>
    <w:basedOn w:val="Normal"/>
    <w:link w:val="TextodebaloChar"/>
    <w:rsid w:val="00BC77C6"/>
    <w:pPr>
      <w:spacing w:after="0" w:line="240" w:lineRule="auto"/>
    </w:pPr>
    <w:rPr>
      <w:rFonts w:ascii="Segoe UI" w:eastAsia="Times New Roman" w:hAnsi="Segoe UI" w:cs="Segoe UI"/>
      <w:sz w:val="18"/>
      <w:szCs w:val="18"/>
      <w:lang w:eastAsia="pt-BR"/>
    </w:rPr>
  </w:style>
  <w:style w:type="character" w:customStyle="1" w:styleId="TextodebaloChar">
    <w:name w:val="Texto de balão Char"/>
    <w:basedOn w:val="Fontepargpadro"/>
    <w:link w:val="Textodebalo"/>
    <w:rsid w:val="00BC77C6"/>
    <w:rPr>
      <w:rFonts w:ascii="Segoe UI" w:eastAsia="Times New Roman" w:hAnsi="Segoe UI" w:cs="Segoe UI"/>
      <w:sz w:val="18"/>
      <w:szCs w:val="18"/>
    </w:rPr>
  </w:style>
  <w:style w:type="paragraph" w:styleId="Corpodetexto3">
    <w:name w:val="Body Text 3"/>
    <w:basedOn w:val="Normal"/>
    <w:link w:val="Corpodetexto3Char"/>
    <w:rsid w:val="00BC77C6"/>
    <w:pPr>
      <w:spacing w:after="120" w:line="240" w:lineRule="auto"/>
    </w:pPr>
    <w:rPr>
      <w:rFonts w:ascii="Verdana" w:eastAsia="Times New Roman" w:hAnsi="Verdana"/>
      <w:sz w:val="16"/>
      <w:szCs w:val="16"/>
      <w:lang w:eastAsia="pt-BR"/>
    </w:rPr>
  </w:style>
  <w:style w:type="character" w:customStyle="1" w:styleId="Corpodetexto3Char">
    <w:name w:val="Corpo de texto 3 Char"/>
    <w:basedOn w:val="Fontepargpadro"/>
    <w:link w:val="Corpodetexto3"/>
    <w:rsid w:val="00BC77C6"/>
    <w:rPr>
      <w:rFonts w:ascii="Verdana" w:eastAsia="Times New Roman" w:hAnsi="Verdana"/>
      <w:sz w:val="16"/>
      <w:szCs w:val="16"/>
    </w:rPr>
  </w:style>
  <w:style w:type="character" w:styleId="Refdecomentrio">
    <w:name w:val="annotation reference"/>
    <w:rsid w:val="00BC77C6"/>
    <w:rPr>
      <w:sz w:val="16"/>
      <w:szCs w:val="16"/>
    </w:rPr>
  </w:style>
  <w:style w:type="paragraph" w:styleId="Textodecomentrio">
    <w:name w:val="annotation text"/>
    <w:basedOn w:val="Normal"/>
    <w:link w:val="TextodecomentrioChar"/>
    <w:rsid w:val="00BC77C6"/>
    <w:pPr>
      <w:spacing w:after="0" w:line="240" w:lineRule="auto"/>
    </w:pPr>
    <w:rPr>
      <w:rFonts w:ascii="Verdana" w:eastAsia="Times New Roman" w:hAnsi="Verdana"/>
      <w:sz w:val="20"/>
      <w:szCs w:val="20"/>
      <w:lang w:eastAsia="pt-BR"/>
    </w:rPr>
  </w:style>
  <w:style w:type="character" w:customStyle="1" w:styleId="TextodecomentrioChar">
    <w:name w:val="Texto de comentário Char"/>
    <w:basedOn w:val="Fontepargpadro"/>
    <w:link w:val="Textodecomentrio"/>
    <w:rsid w:val="00BC77C6"/>
    <w:rPr>
      <w:rFonts w:ascii="Verdana" w:eastAsia="Times New Roman" w:hAnsi="Verdana"/>
    </w:rPr>
  </w:style>
  <w:style w:type="paragraph" w:styleId="Assuntodocomentrio">
    <w:name w:val="annotation subject"/>
    <w:basedOn w:val="Textodecomentrio"/>
    <w:next w:val="Textodecomentrio"/>
    <w:link w:val="AssuntodocomentrioChar"/>
    <w:rsid w:val="00BC77C6"/>
    <w:rPr>
      <w:b/>
      <w:bCs/>
    </w:rPr>
  </w:style>
  <w:style w:type="character" w:customStyle="1" w:styleId="AssuntodocomentrioChar">
    <w:name w:val="Assunto do comentário Char"/>
    <w:basedOn w:val="TextodecomentrioChar"/>
    <w:link w:val="Assuntodocomentrio"/>
    <w:rsid w:val="00BC77C6"/>
    <w:rPr>
      <w:rFonts w:ascii="Verdana" w:eastAsia="Times New Roman" w:hAnsi="Verdana"/>
      <w:b/>
      <w:bCs/>
    </w:rPr>
  </w:style>
  <w:style w:type="character" w:customStyle="1" w:styleId="acopre">
    <w:name w:val="acopre"/>
    <w:rsid w:val="00BC77C6"/>
  </w:style>
  <w:style w:type="paragraph" w:customStyle="1" w:styleId="jud-text">
    <w:name w:val="jud-text"/>
    <w:basedOn w:val="Normal"/>
    <w:rsid w:val="00BC77C6"/>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hgkelc">
    <w:name w:val="hgkelc"/>
    <w:rsid w:val="00BC77C6"/>
  </w:style>
  <w:style w:type="paragraph" w:customStyle="1" w:styleId="inciso">
    <w:name w:val="inciso"/>
    <w:basedOn w:val="Normal"/>
    <w:rsid w:val="00BC77C6"/>
    <w:pPr>
      <w:spacing w:before="100" w:beforeAutospacing="1" w:after="100" w:afterAutospacing="1" w:line="240" w:lineRule="auto"/>
    </w:pPr>
    <w:rPr>
      <w:rFonts w:ascii="Times New Roman" w:eastAsia="Times New Roman" w:hAnsi="Times New Roman"/>
      <w:sz w:val="24"/>
      <w:szCs w:val="24"/>
      <w:lang w:eastAsia="pt-BR"/>
    </w:rPr>
  </w:style>
  <w:style w:type="character" w:styleId="MenoPendente">
    <w:name w:val="Unresolved Mention"/>
    <w:uiPriority w:val="99"/>
    <w:semiHidden/>
    <w:unhideWhenUsed/>
    <w:rsid w:val="00BC77C6"/>
    <w:rPr>
      <w:color w:val="605E5C"/>
      <w:shd w:val="clear" w:color="auto" w:fill="E1DFDD"/>
    </w:rPr>
  </w:style>
  <w:style w:type="paragraph" w:styleId="Partesuperior-zdoformulrio">
    <w:name w:val="HTML Top of Form"/>
    <w:basedOn w:val="Normal"/>
    <w:next w:val="Normal"/>
    <w:link w:val="Partesuperior-zdoformulrioChar"/>
    <w:hidden/>
    <w:uiPriority w:val="99"/>
    <w:unhideWhenUsed/>
    <w:rsid w:val="00BC77C6"/>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rsid w:val="00BC77C6"/>
    <w:rPr>
      <w:rFonts w:ascii="Arial" w:eastAsia="Times New Roman" w:hAnsi="Arial" w:cs="Arial"/>
      <w:vanish/>
      <w:sz w:val="16"/>
      <w:szCs w:val="16"/>
    </w:rPr>
  </w:style>
  <w:style w:type="paragraph" w:styleId="Parteinferiordoformulrio">
    <w:name w:val="HTML Bottom of Form"/>
    <w:basedOn w:val="Normal"/>
    <w:next w:val="Normal"/>
    <w:link w:val="ParteinferiordoformulrioChar"/>
    <w:hidden/>
    <w:uiPriority w:val="99"/>
    <w:unhideWhenUsed/>
    <w:rsid w:val="00BC77C6"/>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rsid w:val="00BC77C6"/>
    <w:rPr>
      <w:rFonts w:ascii="Arial" w:eastAsia="Times New Roman" w:hAnsi="Arial" w:cs="Arial"/>
      <w:vanish/>
      <w:sz w:val="16"/>
      <w:szCs w:val="16"/>
    </w:rPr>
  </w:style>
  <w:style w:type="character" w:customStyle="1" w:styleId="highlight">
    <w:name w:val="highlight"/>
    <w:basedOn w:val="Fontepargpadro"/>
    <w:rsid w:val="00BC77C6"/>
  </w:style>
  <w:style w:type="character" w:customStyle="1" w:styleId="ui-provider">
    <w:name w:val="ui-provider"/>
    <w:basedOn w:val="Fontepargpadro"/>
    <w:rsid w:val="00BC7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4436</Words>
  <Characters>23957</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2023-07-10T22:00:00Z</dcterms:created>
  <dcterms:modified xsi:type="dcterms:W3CDTF">2023-07-10T22:00:00Z</dcterms:modified>
</cp:coreProperties>
</file>