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95E83" w14:textId="720C451D" w:rsidR="00DA4388" w:rsidRDefault="00DA4388">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DA4388" w14:paraId="55EFB4E8" w14:textId="77777777">
        <w:trPr>
          <w:tblCellSpacing w:w="0" w:type="dxa"/>
        </w:trPr>
        <w:tc>
          <w:tcPr>
            <w:tcW w:w="0" w:type="auto"/>
            <w:tcMar>
              <w:top w:w="0" w:type="dxa"/>
              <w:left w:w="0" w:type="dxa"/>
              <w:bottom w:w="0" w:type="dxa"/>
              <w:right w:w="0" w:type="dxa"/>
            </w:tcMar>
            <w:vAlign w:val="center"/>
            <w:hideMark/>
          </w:tcPr>
          <w:p w14:paraId="191BAE05" w14:textId="77777777" w:rsidR="00DA4388" w:rsidRDefault="005941C5">
            <w:pPr>
              <w:spacing w:after="0" w:line="240" w:lineRule="auto"/>
              <w:jc w:val="center"/>
              <w:rPr>
                <w:rFonts w:cs="Calibri"/>
                <w:color w:val="000000"/>
                <w:sz w:val="24"/>
                <w:szCs w:val="24"/>
              </w:rPr>
            </w:pPr>
            <w:r>
              <w:rPr>
                <w:rFonts w:cs="Calibri"/>
                <w:noProof/>
                <w:color w:val="000000"/>
                <w:sz w:val="24"/>
                <w:szCs w:val="24"/>
              </w:rPr>
              <w:drawing>
                <wp:inline distT="0" distB="0" distL="0" distR="0" wp14:anchorId="172C136E" wp14:editId="10F22EF1">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7FBFFDF" w14:textId="77777777" w:rsidR="00DA4388" w:rsidRDefault="005941C5">
      <w:pPr>
        <w:spacing w:after="200" w:line="240" w:lineRule="auto"/>
        <w:jc w:val="both"/>
        <w:rPr>
          <w:rFonts w:cs="Calibri"/>
          <w:sz w:val="20"/>
          <w:szCs w:val="20"/>
        </w:rPr>
      </w:pPr>
      <w:r>
        <w:rPr>
          <w:rFonts w:cs="Calibri"/>
          <w:sz w:val="20"/>
          <w:szCs w:val="20"/>
        </w:rPr>
        <w:t> </w:t>
      </w:r>
    </w:p>
    <w:p w14:paraId="4993F4D0" w14:textId="77777777" w:rsidR="00DA4388" w:rsidRDefault="005941C5">
      <w:pPr>
        <w:spacing w:before="200" w:after="200" w:line="240" w:lineRule="auto"/>
        <w:jc w:val="both"/>
        <w:rPr>
          <w:rFonts w:cs="Calibri"/>
          <w:sz w:val="20"/>
          <w:szCs w:val="20"/>
        </w:rPr>
      </w:pPr>
      <w:r>
        <w:rPr>
          <w:rFonts w:cs="Calibri"/>
          <w:sz w:val="20"/>
          <w:szCs w:val="20"/>
        </w:rPr>
        <w:t> </w:t>
      </w:r>
    </w:p>
    <w:p w14:paraId="4C23B17E" w14:textId="77777777" w:rsidR="00DA4388" w:rsidRDefault="005941C5">
      <w:pPr>
        <w:spacing w:before="200" w:after="200" w:line="240" w:lineRule="auto"/>
        <w:jc w:val="both"/>
        <w:rPr>
          <w:rFonts w:cs="Calibri"/>
          <w:sz w:val="20"/>
          <w:szCs w:val="20"/>
        </w:rPr>
      </w:pPr>
      <w:r>
        <w:rPr>
          <w:rFonts w:cs="Calibri"/>
          <w:sz w:val="20"/>
          <w:szCs w:val="20"/>
        </w:rPr>
        <w:t> </w:t>
      </w:r>
    </w:p>
    <w:p w14:paraId="105D1820" w14:textId="77777777" w:rsidR="00DA4388" w:rsidRDefault="005941C5">
      <w:pPr>
        <w:spacing w:before="200" w:after="200" w:line="240" w:lineRule="auto"/>
        <w:jc w:val="center"/>
        <w:rPr>
          <w:rFonts w:cs="Calibri"/>
          <w:sz w:val="20"/>
          <w:szCs w:val="20"/>
        </w:rPr>
      </w:pPr>
      <w:r>
        <w:rPr>
          <w:rFonts w:cs="Calibri"/>
          <w:sz w:val="20"/>
          <w:szCs w:val="20"/>
        </w:rPr>
        <w:t> </w:t>
      </w:r>
    </w:p>
    <w:p w14:paraId="5E7345EF" w14:textId="77777777" w:rsidR="00DA4388" w:rsidRDefault="005941C5">
      <w:pPr>
        <w:spacing w:before="200" w:after="200" w:line="240" w:lineRule="auto"/>
        <w:jc w:val="both"/>
        <w:rPr>
          <w:rFonts w:cs="Calibri"/>
          <w:sz w:val="20"/>
          <w:szCs w:val="20"/>
        </w:rPr>
      </w:pPr>
      <w:r>
        <w:rPr>
          <w:rFonts w:cs="Calibri"/>
          <w:sz w:val="20"/>
          <w:szCs w:val="20"/>
        </w:rPr>
        <w:t> </w:t>
      </w:r>
    </w:p>
    <w:p w14:paraId="074ED884" w14:textId="77777777" w:rsidR="00DA4388" w:rsidRDefault="005941C5">
      <w:pPr>
        <w:spacing w:before="200" w:after="200" w:line="240" w:lineRule="auto"/>
        <w:jc w:val="both"/>
        <w:rPr>
          <w:rFonts w:cs="Calibri"/>
          <w:sz w:val="20"/>
          <w:szCs w:val="20"/>
        </w:rPr>
      </w:pPr>
      <w:r>
        <w:rPr>
          <w:rFonts w:cs="Calibri"/>
          <w:sz w:val="20"/>
          <w:szCs w:val="20"/>
        </w:rPr>
        <w:t> </w:t>
      </w:r>
    </w:p>
    <w:p w14:paraId="05AA183C" w14:textId="5A8F6830" w:rsidR="00D87256" w:rsidRPr="007E0BD0" w:rsidRDefault="00D87256" w:rsidP="00D87256">
      <w:pPr>
        <w:spacing w:before="200" w:after="200" w:line="240" w:lineRule="auto"/>
        <w:rPr>
          <w:rFonts w:cs="Calibri"/>
          <w:sz w:val="24"/>
          <w:szCs w:val="24"/>
        </w:rPr>
      </w:pPr>
      <w:r w:rsidRPr="007E0BD0">
        <w:rPr>
          <w:rFonts w:cs="Calibri"/>
          <w:b/>
          <w:bCs/>
          <w:sz w:val="24"/>
          <w:szCs w:val="24"/>
        </w:rPr>
        <w:t xml:space="preserve">EXMO. SR. DR. JUIZ FEDERAL DA </w:t>
      </w:r>
      <w:r>
        <w:rPr>
          <w:rFonts w:cs="Calibri"/>
          <w:b/>
          <w:bCs/>
          <w:sz w:val="24"/>
          <w:szCs w:val="24"/>
        </w:rPr>
        <w:t>9</w:t>
      </w:r>
      <w:r w:rsidRPr="007E0BD0">
        <w:rPr>
          <w:rFonts w:cs="Calibri"/>
          <w:b/>
          <w:bCs/>
          <w:sz w:val="24"/>
          <w:szCs w:val="24"/>
        </w:rPr>
        <w:t xml:space="preserve">ª VARA FEDERAL DA SUBSEÇÃO DE </w:t>
      </w:r>
      <w:r>
        <w:rPr>
          <w:rFonts w:cs="Calibri"/>
          <w:b/>
          <w:bCs/>
          <w:sz w:val="24"/>
          <w:szCs w:val="24"/>
        </w:rPr>
        <w:t>PORTO ALEGRE</w:t>
      </w:r>
      <w:r w:rsidRPr="007E0BD0">
        <w:rPr>
          <w:rFonts w:cs="Calibri"/>
          <w:b/>
          <w:bCs/>
          <w:sz w:val="24"/>
          <w:szCs w:val="24"/>
        </w:rPr>
        <w:t xml:space="preserve"> – SEÇÃO JUDICIÁRIA DO RIO GRANDE DO SUL</w:t>
      </w:r>
    </w:p>
    <w:p w14:paraId="68F3FC25" w14:textId="77777777" w:rsidR="00DA4388" w:rsidRPr="00602CED" w:rsidRDefault="005941C5" w:rsidP="00E962C2">
      <w:pPr>
        <w:spacing w:before="200" w:after="200" w:line="240" w:lineRule="auto"/>
        <w:ind w:right="426"/>
        <w:jc w:val="both"/>
        <w:rPr>
          <w:rFonts w:cs="Calibri"/>
          <w:sz w:val="24"/>
          <w:szCs w:val="24"/>
        </w:rPr>
      </w:pPr>
      <w:r w:rsidRPr="00602CED">
        <w:rPr>
          <w:rFonts w:cs="Calibri"/>
          <w:sz w:val="24"/>
          <w:szCs w:val="24"/>
        </w:rPr>
        <w:t> </w:t>
      </w:r>
    </w:p>
    <w:p w14:paraId="731D17CA" w14:textId="0A44641D" w:rsidR="00DA4388" w:rsidRPr="00602CED" w:rsidRDefault="005941C5" w:rsidP="00D87256">
      <w:pPr>
        <w:spacing w:before="200" w:after="200" w:line="240" w:lineRule="auto"/>
        <w:ind w:right="426"/>
        <w:jc w:val="both"/>
        <w:rPr>
          <w:rFonts w:cs="Calibri"/>
          <w:b/>
          <w:bCs/>
          <w:sz w:val="24"/>
          <w:szCs w:val="24"/>
        </w:rPr>
      </w:pPr>
      <w:r w:rsidRPr="00602CED">
        <w:rPr>
          <w:rFonts w:cs="Calibri"/>
          <w:b/>
          <w:bCs/>
          <w:sz w:val="24"/>
          <w:szCs w:val="24"/>
        </w:rPr>
        <w:t xml:space="preserve">Processo: </w:t>
      </w:r>
      <w:r w:rsidR="00D87256" w:rsidRPr="00D87256">
        <w:rPr>
          <w:rFonts w:cs="Calibri"/>
          <w:b/>
          <w:bCs/>
          <w:sz w:val="24"/>
          <w:szCs w:val="24"/>
        </w:rPr>
        <w:t>5000339-33.2023.4.04.7140/RS</w:t>
      </w:r>
      <w:r w:rsidR="00D87256" w:rsidRPr="00D87256">
        <w:rPr>
          <w:rFonts w:cs="Calibri"/>
          <w:b/>
          <w:bCs/>
          <w:sz w:val="24"/>
          <w:szCs w:val="24"/>
        </w:rPr>
        <w:cr/>
      </w:r>
    </w:p>
    <w:p w14:paraId="70D5ED8D" w14:textId="77777777" w:rsidR="005941C5" w:rsidRPr="00602CED" w:rsidRDefault="005941C5" w:rsidP="00E962C2">
      <w:pPr>
        <w:spacing w:before="200" w:after="200" w:line="240" w:lineRule="auto"/>
        <w:ind w:right="426"/>
        <w:jc w:val="both"/>
        <w:rPr>
          <w:rFonts w:cs="Calibri"/>
          <w:sz w:val="24"/>
          <w:szCs w:val="24"/>
        </w:rPr>
      </w:pPr>
    </w:p>
    <w:p w14:paraId="70112798" w14:textId="64FF126E" w:rsidR="008F4CF5" w:rsidRPr="00602CED" w:rsidRDefault="005941C5" w:rsidP="00D87256">
      <w:pPr>
        <w:spacing w:before="200" w:after="200" w:line="240" w:lineRule="auto"/>
        <w:ind w:firstLine="1701"/>
        <w:jc w:val="both"/>
        <w:rPr>
          <w:rFonts w:cs="Calibri"/>
          <w:sz w:val="24"/>
          <w:szCs w:val="24"/>
        </w:rPr>
      </w:pPr>
      <w:r w:rsidRPr="00602CED">
        <w:rPr>
          <w:rFonts w:cs="Calibri"/>
          <w:b/>
          <w:bCs/>
          <w:sz w:val="24"/>
          <w:szCs w:val="24"/>
        </w:rPr>
        <w:t>                              </w:t>
      </w:r>
      <w:r w:rsidR="00D87256" w:rsidRPr="007E0BD0">
        <w:rPr>
          <w:rFonts w:cs="Calibri"/>
          <w:b/>
          <w:bCs/>
          <w:sz w:val="24"/>
          <w:szCs w:val="24"/>
        </w:rPr>
        <w:t>CAIXA ECONÔMICA FEDERAL – CEF</w:t>
      </w:r>
      <w:r w:rsidR="00D87256" w:rsidRPr="007E0BD0">
        <w:rPr>
          <w:rFonts w:cs="Calibri"/>
          <w:sz w:val="24"/>
          <w:szCs w:val="24"/>
        </w:rPr>
        <w:t xml:space="preserve">, instituição financeira sob a forma de empresa pública, inscrita no CGC/MF sob n.º 00.360.305/1780-00, com sede em Brasília/DF e Escritório de Negócios neste Estado, com endereço na Rua dos Andradas, n.º 1000, em Porto Alegre/RS,, onde recebe citações, intimações e notificações de estilo, por seu advogado que esta subscreve, mandato incluso nos autos da </w:t>
      </w:r>
      <w:r w:rsidR="00D87256" w:rsidRPr="007E0BD0">
        <w:rPr>
          <w:rFonts w:cs="Calibri"/>
          <w:b/>
          <w:bCs/>
          <w:i/>
          <w:iCs/>
          <w:sz w:val="24"/>
          <w:szCs w:val="24"/>
        </w:rPr>
        <w:t>AÇÃO DE</w:t>
      </w:r>
      <w:r w:rsidR="00D87256">
        <w:rPr>
          <w:rFonts w:cs="Calibri"/>
          <w:b/>
          <w:bCs/>
          <w:i/>
          <w:iCs/>
          <w:sz w:val="24"/>
          <w:szCs w:val="24"/>
        </w:rPr>
        <w:t>CLARATÓRIA DE INEXIGIBILIDADE DE DÉBITO</w:t>
      </w:r>
      <w:r w:rsidR="00D87256" w:rsidRPr="007E0BD0">
        <w:rPr>
          <w:rFonts w:cs="Calibri"/>
          <w:b/>
          <w:bCs/>
          <w:i/>
          <w:iCs/>
          <w:sz w:val="24"/>
          <w:szCs w:val="24"/>
        </w:rPr>
        <w:t xml:space="preserve">, </w:t>
      </w:r>
      <w:r w:rsidR="00D87256" w:rsidRPr="007E0BD0">
        <w:rPr>
          <w:rFonts w:cs="Calibri"/>
          <w:sz w:val="24"/>
          <w:szCs w:val="24"/>
        </w:rPr>
        <w:t xml:space="preserve">que lhe promove </w:t>
      </w:r>
      <w:r w:rsidR="00D87256" w:rsidRPr="00D87256">
        <w:rPr>
          <w:rFonts w:cs="Calibri"/>
          <w:b/>
          <w:bCs/>
          <w:sz w:val="24"/>
          <w:szCs w:val="24"/>
        </w:rPr>
        <w:t>FABIANE BEATRIZ HILBERT</w:t>
      </w:r>
      <w:r w:rsidR="00D87256" w:rsidRPr="007E0BD0">
        <w:rPr>
          <w:rFonts w:cs="Calibri"/>
          <w:sz w:val="24"/>
          <w:szCs w:val="24"/>
        </w:rPr>
        <w:t xml:space="preserve">, em trâmite perante este Douto Juízo, vem, </w:t>
      </w:r>
      <w:r w:rsidR="00D87256" w:rsidRPr="007E0BD0">
        <w:rPr>
          <w:rFonts w:cs="Calibri"/>
          <w:i/>
          <w:iCs/>
          <w:sz w:val="24"/>
          <w:szCs w:val="24"/>
        </w:rPr>
        <w:t>mui</w:t>
      </w:r>
      <w:r w:rsidR="00D87256" w:rsidRPr="007E0BD0">
        <w:rPr>
          <w:rFonts w:cs="Calibri"/>
          <w:sz w:val="24"/>
          <w:szCs w:val="24"/>
        </w:rPr>
        <w:t xml:space="preserve"> respeitosamente, à presença de Vossa Excelência, apresentar</w:t>
      </w:r>
      <w:r w:rsidR="00D87256">
        <w:rPr>
          <w:rFonts w:cs="Calibri"/>
          <w:sz w:val="24"/>
          <w:szCs w:val="24"/>
        </w:rPr>
        <w:t xml:space="preserve"> </w:t>
      </w:r>
      <w:r w:rsidR="00466D52" w:rsidRPr="00D87256">
        <w:rPr>
          <w:rFonts w:cs="Calibri"/>
          <w:b/>
          <w:bCs/>
          <w:sz w:val="24"/>
          <w:szCs w:val="24"/>
          <w:u w:val="single"/>
        </w:rPr>
        <w:t>MANIFESTAÇÃO</w:t>
      </w:r>
      <w:r w:rsidR="00466D52">
        <w:rPr>
          <w:rFonts w:cs="Calibri"/>
          <w:sz w:val="24"/>
          <w:szCs w:val="24"/>
        </w:rPr>
        <w:t xml:space="preserve"> acerca</w:t>
      </w:r>
      <w:r w:rsidR="00480E89" w:rsidRPr="00602CED">
        <w:rPr>
          <w:rFonts w:cs="Calibri"/>
          <w:sz w:val="24"/>
          <w:szCs w:val="24"/>
        </w:rPr>
        <w:t xml:space="preserve"> do Evento </w:t>
      </w:r>
      <w:r w:rsidR="00466D52">
        <w:rPr>
          <w:rFonts w:cs="Calibri"/>
          <w:sz w:val="24"/>
          <w:szCs w:val="24"/>
        </w:rPr>
        <w:t>12</w:t>
      </w:r>
      <w:r w:rsidR="00480E89" w:rsidRPr="00602CED">
        <w:rPr>
          <w:rFonts w:cs="Calibri"/>
          <w:sz w:val="24"/>
          <w:szCs w:val="24"/>
        </w:rPr>
        <w:t>.</w:t>
      </w:r>
    </w:p>
    <w:p w14:paraId="47C1EE00" w14:textId="77777777" w:rsidR="00602CED" w:rsidRPr="00602CED" w:rsidRDefault="00602CED" w:rsidP="00480E89">
      <w:pPr>
        <w:spacing w:line="320" w:lineRule="exact"/>
        <w:ind w:right="426" w:firstLine="1440"/>
        <w:jc w:val="both"/>
        <w:rPr>
          <w:rFonts w:cs="Calibri"/>
          <w:sz w:val="24"/>
          <w:szCs w:val="24"/>
        </w:rPr>
      </w:pPr>
    </w:p>
    <w:p w14:paraId="0E76A393" w14:textId="6F32D22F" w:rsidR="00480E89" w:rsidRDefault="00480E89" w:rsidP="00480E89">
      <w:pPr>
        <w:spacing w:line="320" w:lineRule="exact"/>
        <w:ind w:right="426"/>
        <w:jc w:val="both"/>
        <w:rPr>
          <w:rFonts w:cs="Calibri"/>
          <w:sz w:val="24"/>
          <w:szCs w:val="24"/>
        </w:rPr>
      </w:pPr>
      <w:r w:rsidRPr="00602CED">
        <w:rPr>
          <w:rFonts w:cs="Calibri"/>
          <w:sz w:val="24"/>
          <w:szCs w:val="24"/>
        </w:rPr>
        <w:tab/>
      </w:r>
      <w:r w:rsidR="00466D52">
        <w:rPr>
          <w:rFonts w:cs="Calibri"/>
          <w:sz w:val="24"/>
          <w:szCs w:val="24"/>
        </w:rPr>
        <w:t>Trata-se a demanda de uma ação de cobrança onde a parte autora alega ter sido ludibriada por terceiros, o que culminou na subtração de valores em sua conta bancária mantida junto à CAIXA.</w:t>
      </w:r>
    </w:p>
    <w:p w14:paraId="68F8C452" w14:textId="77777777" w:rsidR="00466D52" w:rsidRDefault="00466D52" w:rsidP="00480E89">
      <w:pPr>
        <w:spacing w:line="320" w:lineRule="exact"/>
        <w:ind w:right="426"/>
        <w:jc w:val="both"/>
        <w:rPr>
          <w:rFonts w:cs="Calibri"/>
          <w:sz w:val="24"/>
          <w:szCs w:val="24"/>
        </w:rPr>
      </w:pPr>
    </w:p>
    <w:p w14:paraId="7FA0E018" w14:textId="07683128" w:rsidR="00466D52" w:rsidRDefault="00466D52" w:rsidP="00480E89">
      <w:pPr>
        <w:spacing w:line="320" w:lineRule="exact"/>
        <w:ind w:right="426"/>
        <w:jc w:val="both"/>
        <w:rPr>
          <w:rFonts w:cs="Calibri"/>
          <w:sz w:val="24"/>
          <w:szCs w:val="24"/>
        </w:rPr>
      </w:pPr>
      <w:r>
        <w:rPr>
          <w:rFonts w:cs="Calibri"/>
          <w:sz w:val="24"/>
          <w:szCs w:val="24"/>
        </w:rPr>
        <w:tab/>
        <w:t xml:space="preserve">Inicialmente cumpre esclarecer que ainda na hipótese de se considerar estarmos diante de uma hipótese de responsabilidade civil objetiva (o que não se admite, pelos fatos oportunamente a ser apresentados), temos que </w:t>
      </w:r>
      <w:proofErr w:type="gramStart"/>
      <w:r>
        <w:rPr>
          <w:rFonts w:cs="Calibri"/>
          <w:sz w:val="24"/>
          <w:szCs w:val="24"/>
        </w:rPr>
        <w:t>subsiste</w:t>
      </w:r>
      <w:proofErr w:type="gramEnd"/>
      <w:r>
        <w:rPr>
          <w:rFonts w:cs="Calibri"/>
          <w:sz w:val="24"/>
          <w:szCs w:val="24"/>
        </w:rPr>
        <w:t xml:space="preserve"> a necessidade da CONDUTA ILÍCITA, o que de modo algum restou comprovado.</w:t>
      </w:r>
    </w:p>
    <w:p w14:paraId="01877530" w14:textId="21260399" w:rsidR="00466D52" w:rsidRDefault="00466D52" w:rsidP="00480E89">
      <w:pPr>
        <w:spacing w:line="320" w:lineRule="exact"/>
        <w:ind w:right="426"/>
        <w:jc w:val="both"/>
        <w:rPr>
          <w:rFonts w:cs="Calibri"/>
          <w:sz w:val="24"/>
          <w:szCs w:val="24"/>
        </w:rPr>
      </w:pPr>
      <w:r>
        <w:rPr>
          <w:rFonts w:cs="Calibri"/>
          <w:sz w:val="24"/>
          <w:szCs w:val="24"/>
        </w:rPr>
        <w:tab/>
        <w:t>Certo é que o SUPOSTO dano (a se apurar) foi causado exclusivamente por terceiros, excluindo em absoluto a responsabilidade da ré, sobretudo pela falta de cuidado mínimo por parte da parte autora.</w:t>
      </w:r>
    </w:p>
    <w:p w14:paraId="1A2BAD1E" w14:textId="77777777" w:rsidR="00466D52" w:rsidRDefault="00466D52" w:rsidP="00480E89">
      <w:pPr>
        <w:spacing w:line="320" w:lineRule="exact"/>
        <w:ind w:right="426"/>
        <w:jc w:val="both"/>
        <w:rPr>
          <w:rFonts w:cs="Calibri"/>
          <w:sz w:val="24"/>
          <w:szCs w:val="24"/>
        </w:rPr>
      </w:pPr>
    </w:p>
    <w:p w14:paraId="5C9EE9FA" w14:textId="68279E14" w:rsidR="00466D52" w:rsidRDefault="00466D52" w:rsidP="00480E89">
      <w:pPr>
        <w:spacing w:line="320" w:lineRule="exact"/>
        <w:ind w:right="426"/>
        <w:jc w:val="both"/>
        <w:rPr>
          <w:rFonts w:cs="Calibri"/>
          <w:sz w:val="24"/>
          <w:szCs w:val="24"/>
        </w:rPr>
      </w:pPr>
      <w:r>
        <w:rPr>
          <w:rFonts w:cs="Calibri"/>
          <w:sz w:val="24"/>
          <w:szCs w:val="24"/>
        </w:rPr>
        <w:tab/>
        <w:t>Assim sendo, percebemos que carece de VEROSSIMILHANÇA as alegações apresentadas pela parte autora, não justificando legalmente o deferimento de qualquer pedido liminar, muito menos a disponibilização dos valores que por falta de cuidados mínimos e zelo, supostamente foi subtraído da parte autora, o que se traduziria em verdadeira satisfação da tutela. Reitera-se SUPOSTAMENTE, nada há que comprove cabalmente, muito menos sem a necessária dilação probatória.</w:t>
      </w:r>
    </w:p>
    <w:p w14:paraId="5283FE2E" w14:textId="014A2104" w:rsidR="00647181" w:rsidRPr="00647181" w:rsidRDefault="00647181" w:rsidP="00647181">
      <w:pPr>
        <w:spacing w:line="320" w:lineRule="exact"/>
        <w:ind w:right="426" w:firstLine="708"/>
        <w:jc w:val="both"/>
        <w:rPr>
          <w:rFonts w:cs="Calibri"/>
          <w:sz w:val="24"/>
          <w:szCs w:val="24"/>
        </w:rPr>
      </w:pPr>
      <w:r>
        <w:rPr>
          <w:rFonts w:cs="Calibri"/>
          <w:sz w:val="24"/>
          <w:szCs w:val="24"/>
        </w:rPr>
        <w:t>O caso trazido à baila deve ser analisado ainda sob o viés do</w:t>
      </w:r>
      <w:r w:rsidRPr="00647181">
        <w:rPr>
          <w:rFonts w:cs="Calibri"/>
          <w:sz w:val="24"/>
          <w:szCs w:val="24"/>
        </w:rPr>
        <w:t xml:space="preserve"> </w:t>
      </w:r>
      <w:r>
        <w:rPr>
          <w:rFonts w:cs="Calibri"/>
          <w:sz w:val="24"/>
          <w:szCs w:val="24"/>
        </w:rPr>
        <w:t>E</w:t>
      </w:r>
      <w:r w:rsidRPr="00647181">
        <w:rPr>
          <w:rFonts w:cs="Calibri"/>
          <w:sz w:val="24"/>
          <w:szCs w:val="24"/>
        </w:rPr>
        <w:t>quilíbrio Econômico-Financeiro do Contrato,</w:t>
      </w:r>
      <w:r>
        <w:rPr>
          <w:rFonts w:cs="Calibri"/>
          <w:sz w:val="24"/>
          <w:szCs w:val="24"/>
        </w:rPr>
        <w:t xml:space="preserve"> para o que</w:t>
      </w:r>
      <w:r w:rsidRPr="00647181">
        <w:rPr>
          <w:rFonts w:cs="Calibri"/>
          <w:sz w:val="24"/>
          <w:szCs w:val="24"/>
        </w:rPr>
        <w:t xml:space="preserve"> destacamos a salutar doutrina de Hely Lopes Meirelles:</w:t>
      </w:r>
    </w:p>
    <w:p w14:paraId="2CBB1B1B" w14:textId="77777777" w:rsidR="00647181" w:rsidRPr="00647181" w:rsidRDefault="00647181" w:rsidP="00647181">
      <w:pPr>
        <w:spacing w:line="320" w:lineRule="exact"/>
        <w:ind w:right="426"/>
        <w:jc w:val="both"/>
        <w:rPr>
          <w:rFonts w:cs="Calibri"/>
          <w:sz w:val="24"/>
          <w:szCs w:val="24"/>
        </w:rPr>
      </w:pPr>
    </w:p>
    <w:p w14:paraId="210B9FF8" w14:textId="77777777" w:rsidR="00647181" w:rsidRPr="00647181" w:rsidRDefault="00647181" w:rsidP="00647181">
      <w:pPr>
        <w:spacing w:line="320" w:lineRule="exact"/>
        <w:ind w:left="2268" w:right="426"/>
        <w:jc w:val="both"/>
        <w:rPr>
          <w:rFonts w:cs="Calibri"/>
          <w:i/>
          <w:iCs/>
          <w:sz w:val="24"/>
          <w:szCs w:val="24"/>
        </w:rPr>
      </w:pPr>
      <w:r w:rsidRPr="00647181">
        <w:rPr>
          <w:rFonts w:cs="Calibri"/>
          <w:i/>
          <w:iCs/>
          <w:sz w:val="24"/>
          <w:szCs w:val="24"/>
        </w:rPr>
        <w:t xml:space="preserve">(Licitação e Contrato Administrativo, 11ª </w:t>
      </w:r>
      <w:proofErr w:type="spellStart"/>
      <w:r w:rsidRPr="00647181">
        <w:rPr>
          <w:rFonts w:cs="Calibri"/>
          <w:i/>
          <w:iCs/>
          <w:sz w:val="24"/>
          <w:szCs w:val="24"/>
        </w:rPr>
        <w:t>ed</w:t>
      </w:r>
      <w:proofErr w:type="spellEnd"/>
      <w:r w:rsidRPr="00647181">
        <w:rPr>
          <w:rFonts w:cs="Calibri"/>
          <w:i/>
          <w:iCs/>
          <w:sz w:val="24"/>
          <w:szCs w:val="24"/>
        </w:rPr>
        <w:t>, atualizada por Eurico de Andrade Azevedo et alii, São Paulo, Malheiros, 1996, p.165) "O equilíbrio financeiro ou equilíbrio econômico do contrato administrativo, também denominado equação econômica ou equação financeira, é a relação que as partes estabelecem inicialmente, no ajuste, entre os encargos do contrato e a retribuição da Administração para a justa remuneração da obra, do serviço ou do fornecimento. Em última análise, é a correlação entre objeto do contrato e sua remuneração, originariamente prevista e fixada pelas partes em números absolutos ou em escala móvel. Essa correlação deve ser conservada durante toda a execução do contrato, mesmo que alteradas as cláusulas regulamentares da prestação ajustada, a fim de que se mantenha a equação financeira ou, por outras palavras, o equilíbrio econômico-financeiro do contrato (Lei 8.666/93, art. 65, II, "d", e § 6º).". (grifamos)</w:t>
      </w:r>
    </w:p>
    <w:p w14:paraId="5604B9AB" w14:textId="77777777" w:rsidR="00647181" w:rsidRPr="00647181" w:rsidRDefault="00647181" w:rsidP="00647181">
      <w:pPr>
        <w:spacing w:line="320" w:lineRule="exact"/>
        <w:ind w:right="426"/>
        <w:jc w:val="both"/>
        <w:rPr>
          <w:rFonts w:cs="Calibri"/>
          <w:sz w:val="24"/>
          <w:szCs w:val="24"/>
        </w:rPr>
      </w:pPr>
    </w:p>
    <w:p w14:paraId="0E53C764" w14:textId="737345D1" w:rsidR="00647181" w:rsidRDefault="00647181" w:rsidP="00647181">
      <w:pPr>
        <w:spacing w:line="320" w:lineRule="exact"/>
        <w:ind w:right="426" w:firstLine="708"/>
        <w:jc w:val="both"/>
        <w:rPr>
          <w:rFonts w:cs="Calibri"/>
          <w:sz w:val="24"/>
          <w:szCs w:val="24"/>
        </w:rPr>
      </w:pPr>
      <w:r w:rsidRPr="00647181">
        <w:rPr>
          <w:rFonts w:cs="Calibri"/>
          <w:sz w:val="24"/>
          <w:szCs w:val="24"/>
        </w:rPr>
        <w:t>Por vias transversas,</w:t>
      </w:r>
      <w:r>
        <w:rPr>
          <w:rFonts w:cs="Calibri"/>
          <w:sz w:val="24"/>
          <w:szCs w:val="24"/>
        </w:rPr>
        <w:t xml:space="preserve"> uma</w:t>
      </w:r>
      <w:r w:rsidRPr="00647181">
        <w:rPr>
          <w:rFonts w:cs="Calibri"/>
          <w:sz w:val="24"/>
          <w:szCs w:val="24"/>
        </w:rPr>
        <w:t xml:space="preserve"> decisão que</w:t>
      </w:r>
      <w:r>
        <w:rPr>
          <w:rFonts w:cs="Calibri"/>
          <w:sz w:val="24"/>
          <w:szCs w:val="24"/>
        </w:rPr>
        <w:t xml:space="preserve"> venha a</w:t>
      </w:r>
      <w:r w:rsidRPr="00647181">
        <w:rPr>
          <w:rFonts w:cs="Calibri"/>
          <w:sz w:val="24"/>
          <w:szCs w:val="24"/>
        </w:rPr>
        <w:t xml:space="preserve"> antecip</w:t>
      </w:r>
      <w:r>
        <w:rPr>
          <w:rFonts w:cs="Calibri"/>
          <w:sz w:val="24"/>
          <w:szCs w:val="24"/>
        </w:rPr>
        <w:t>ar</w:t>
      </w:r>
      <w:r w:rsidRPr="00647181">
        <w:rPr>
          <w:rFonts w:cs="Calibri"/>
          <w:sz w:val="24"/>
          <w:szCs w:val="24"/>
        </w:rPr>
        <w:t xml:space="preserve"> os efeitos da tutela acaba</w:t>
      </w:r>
      <w:r>
        <w:rPr>
          <w:rFonts w:cs="Calibri"/>
          <w:sz w:val="24"/>
          <w:szCs w:val="24"/>
        </w:rPr>
        <w:t>ria</w:t>
      </w:r>
      <w:r w:rsidRPr="00647181">
        <w:rPr>
          <w:rFonts w:cs="Calibri"/>
          <w:sz w:val="24"/>
          <w:szCs w:val="24"/>
        </w:rPr>
        <w:t xml:space="preserve"> por criar uma </w:t>
      </w:r>
      <w:r>
        <w:rPr>
          <w:rFonts w:cs="Calibri"/>
          <w:sz w:val="24"/>
          <w:szCs w:val="24"/>
        </w:rPr>
        <w:t>brecha para que apenas com uma rasa alegação de uma suposta fraude ocasionada por terceiros, a CAIXA (e qualquer outra instituição bancária) sem a necessária e cuidadosa análise ordinária do processo seja obrigada a restituir valores em razão de uma SUPOSTA fraude para a qual nunca concorreu</w:t>
      </w:r>
      <w:r w:rsidRPr="00647181">
        <w:rPr>
          <w:rFonts w:cs="Calibri"/>
          <w:sz w:val="24"/>
          <w:szCs w:val="24"/>
        </w:rPr>
        <w:t>.</w:t>
      </w:r>
      <w:r>
        <w:rPr>
          <w:rFonts w:cs="Calibri"/>
          <w:sz w:val="24"/>
          <w:szCs w:val="24"/>
        </w:rPr>
        <w:t xml:space="preserve"> Tal situação numa escala nacional abalaria de sobremaneira a atuação das instituições financeiras, prejudicando seus cálculos atuariais, gerando prejuízos incalculáveis e irreversíveis.</w:t>
      </w:r>
    </w:p>
    <w:p w14:paraId="7B362FAD" w14:textId="77777777" w:rsidR="00D87256" w:rsidRDefault="00D87256" w:rsidP="00647181">
      <w:pPr>
        <w:spacing w:line="320" w:lineRule="exact"/>
        <w:ind w:right="426" w:firstLine="708"/>
        <w:jc w:val="both"/>
        <w:rPr>
          <w:rFonts w:cs="Calibri"/>
          <w:sz w:val="24"/>
          <w:szCs w:val="24"/>
        </w:rPr>
      </w:pPr>
    </w:p>
    <w:p w14:paraId="0BA226E0" w14:textId="2B5A0B1D" w:rsidR="00D87256" w:rsidRDefault="00D87256" w:rsidP="00647181">
      <w:pPr>
        <w:spacing w:line="320" w:lineRule="exact"/>
        <w:ind w:right="426" w:firstLine="708"/>
        <w:jc w:val="both"/>
        <w:rPr>
          <w:rFonts w:cs="Calibri"/>
          <w:sz w:val="24"/>
          <w:szCs w:val="24"/>
        </w:rPr>
      </w:pPr>
      <w:r w:rsidRPr="00F53DDE">
        <w:rPr>
          <w:rFonts w:cs="Calibri"/>
          <w:sz w:val="24"/>
          <w:szCs w:val="24"/>
        </w:rPr>
        <w:t>Resta absolutamente evidenciado nos autos que não houve qualquer falha na prestação de serviço da empresa pública, tampouco há de se falar em fragilidade de segurança do sistema desta, posto que as transferências não foram realizadas através de invasão do sistema da CAIXA, mas sim através d</w:t>
      </w:r>
      <w:r>
        <w:rPr>
          <w:rFonts w:cs="Calibri"/>
          <w:sz w:val="24"/>
          <w:szCs w:val="24"/>
        </w:rPr>
        <w:t xml:space="preserve">e um sistema utilizado pela autora deliberadamente. Em momento algum se provou que o contato foi realizado por pessoa que se passou por colaborador da ré. E ainda que o fosse, tal situação foge à sua ingerência, posto que não se trata de suscetibilidade de acesso ao seu sistema, mas sim culpa da autora que não agiu diligentemente, oportunizando a fraude. </w:t>
      </w:r>
    </w:p>
    <w:p w14:paraId="4026DAE1" w14:textId="77777777" w:rsidR="00D87256" w:rsidRDefault="00D87256" w:rsidP="00647181">
      <w:pPr>
        <w:spacing w:line="320" w:lineRule="exact"/>
        <w:ind w:right="426" w:firstLine="708"/>
        <w:jc w:val="both"/>
        <w:rPr>
          <w:rFonts w:cs="Calibri"/>
          <w:sz w:val="24"/>
          <w:szCs w:val="24"/>
        </w:rPr>
      </w:pPr>
    </w:p>
    <w:p w14:paraId="58F0C242" w14:textId="69AD807B" w:rsidR="00647181" w:rsidRPr="00647181" w:rsidRDefault="00647181" w:rsidP="00647181">
      <w:pPr>
        <w:spacing w:line="320" w:lineRule="exact"/>
        <w:ind w:right="426" w:firstLine="708"/>
        <w:jc w:val="both"/>
        <w:rPr>
          <w:rFonts w:cs="Calibri"/>
          <w:sz w:val="24"/>
          <w:szCs w:val="24"/>
        </w:rPr>
      </w:pPr>
      <w:r>
        <w:rPr>
          <w:rFonts w:cs="Calibri"/>
          <w:sz w:val="24"/>
          <w:szCs w:val="24"/>
        </w:rPr>
        <w:t xml:space="preserve">Por certo a situação merece ser analisada adequadamente no curso do processo, com </w:t>
      </w:r>
      <w:proofErr w:type="spellStart"/>
      <w:r>
        <w:rPr>
          <w:rFonts w:cs="Calibri"/>
          <w:sz w:val="24"/>
          <w:szCs w:val="24"/>
        </w:rPr>
        <w:t>oportunização</w:t>
      </w:r>
      <w:proofErr w:type="spellEnd"/>
      <w:r>
        <w:rPr>
          <w:rFonts w:cs="Calibri"/>
          <w:sz w:val="24"/>
          <w:szCs w:val="24"/>
        </w:rPr>
        <w:t xml:space="preserve"> das provas pertinentes e tudo o que mais for necessário para se apurar a verdade dos fatos e </w:t>
      </w:r>
      <w:r w:rsidR="00D87256">
        <w:rPr>
          <w:rFonts w:cs="Calibri"/>
          <w:sz w:val="24"/>
          <w:szCs w:val="24"/>
        </w:rPr>
        <w:t>identificada a responsabilização.</w:t>
      </w:r>
    </w:p>
    <w:p w14:paraId="476A3669" w14:textId="77777777" w:rsidR="00647181" w:rsidRDefault="00647181" w:rsidP="00480E89">
      <w:pPr>
        <w:spacing w:line="320" w:lineRule="exact"/>
        <w:ind w:right="426"/>
        <w:jc w:val="both"/>
        <w:rPr>
          <w:rFonts w:cs="Calibri"/>
          <w:sz w:val="24"/>
          <w:szCs w:val="24"/>
        </w:rPr>
      </w:pPr>
    </w:p>
    <w:p w14:paraId="36A0D440" w14:textId="005A8544" w:rsidR="00466D52" w:rsidRDefault="00466D52" w:rsidP="00480E89">
      <w:pPr>
        <w:spacing w:line="320" w:lineRule="exact"/>
        <w:ind w:right="426"/>
        <w:jc w:val="both"/>
        <w:rPr>
          <w:rFonts w:cs="Calibri"/>
          <w:sz w:val="24"/>
          <w:szCs w:val="24"/>
        </w:rPr>
      </w:pPr>
      <w:r>
        <w:rPr>
          <w:rFonts w:cs="Calibri"/>
          <w:sz w:val="24"/>
          <w:szCs w:val="24"/>
        </w:rPr>
        <w:tab/>
        <w:t xml:space="preserve">Não percamos de vistas o que é alegado pela própria parte autora, acerca da baixa renda da parte autora, fazendo com que a tutela antecipada possa vir a ser irreversível, de modo que incide a análise sob o enfoque do </w:t>
      </w:r>
      <w:r w:rsidRPr="00466D52">
        <w:rPr>
          <w:rFonts w:cs="Calibri"/>
          <w:i/>
          <w:iCs/>
          <w:sz w:val="24"/>
          <w:szCs w:val="24"/>
        </w:rPr>
        <w:t>periculum in</w:t>
      </w:r>
      <w:r>
        <w:rPr>
          <w:rFonts w:cs="Calibri"/>
          <w:sz w:val="24"/>
          <w:szCs w:val="24"/>
        </w:rPr>
        <w:t xml:space="preserve"> mora inverso, ou seja, tornar-se difícil ou impossível o desfazimento dos efeitos da tutela antecipada.</w:t>
      </w:r>
    </w:p>
    <w:p w14:paraId="2CDF2A23" w14:textId="77777777" w:rsidR="00466D52" w:rsidRDefault="00466D52" w:rsidP="00480E89">
      <w:pPr>
        <w:spacing w:line="320" w:lineRule="exact"/>
        <w:ind w:right="426"/>
        <w:jc w:val="both"/>
        <w:rPr>
          <w:rFonts w:cs="Calibri"/>
          <w:sz w:val="24"/>
          <w:szCs w:val="24"/>
        </w:rPr>
      </w:pPr>
    </w:p>
    <w:p w14:paraId="17A8BBCF" w14:textId="42A1A3A8" w:rsidR="00466D52" w:rsidRPr="00466D52" w:rsidRDefault="00647181" w:rsidP="00466D52">
      <w:pPr>
        <w:spacing w:line="320" w:lineRule="exact"/>
        <w:ind w:right="426" w:firstLine="708"/>
        <w:jc w:val="both"/>
        <w:rPr>
          <w:rFonts w:cs="Calibri"/>
          <w:sz w:val="24"/>
          <w:szCs w:val="24"/>
        </w:rPr>
      </w:pPr>
      <w:r>
        <w:rPr>
          <w:rFonts w:cs="Calibri"/>
          <w:sz w:val="24"/>
          <w:szCs w:val="24"/>
        </w:rPr>
        <w:t>Exa., é fácil constatar pela análise</w:t>
      </w:r>
      <w:r w:rsidR="00466D52" w:rsidRPr="00466D52">
        <w:rPr>
          <w:rFonts w:cs="Calibri"/>
          <w:sz w:val="24"/>
          <w:szCs w:val="24"/>
        </w:rPr>
        <w:t xml:space="preserve"> </w:t>
      </w:r>
      <w:r>
        <w:rPr>
          <w:rFonts w:cs="Calibri"/>
          <w:sz w:val="24"/>
          <w:szCs w:val="24"/>
        </w:rPr>
        <w:t>d</w:t>
      </w:r>
      <w:r w:rsidR="00466D52" w:rsidRPr="00466D52">
        <w:rPr>
          <w:rFonts w:cs="Calibri"/>
          <w:sz w:val="24"/>
          <w:szCs w:val="24"/>
        </w:rPr>
        <w:t xml:space="preserve">as provas </w:t>
      </w:r>
      <w:r>
        <w:rPr>
          <w:rFonts w:cs="Calibri"/>
          <w:sz w:val="24"/>
          <w:szCs w:val="24"/>
        </w:rPr>
        <w:t>coligidas aos autos</w:t>
      </w:r>
      <w:r w:rsidR="00466D52" w:rsidRPr="00466D52">
        <w:rPr>
          <w:rFonts w:cs="Calibri"/>
          <w:sz w:val="24"/>
          <w:szCs w:val="24"/>
        </w:rPr>
        <w:t xml:space="preserve"> não há documentação comprovando a existência de qualquer irregularidade </w:t>
      </w:r>
      <w:r>
        <w:rPr>
          <w:rFonts w:cs="Calibri"/>
          <w:sz w:val="24"/>
          <w:szCs w:val="24"/>
        </w:rPr>
        <w:t>por parte da ré</w:t>
      </w:r>
      <w:r w:rsidR="00466D52" w:rsidRPr="00466D52">
        <w:rPr>
          <w:rFonts w:cs="Calibri"/>
          <w:sz w:val="24"/>
          <w:szCs w:val="24"/>
        </w:rPr>
        <w:t>.</w:t>
      </w:r>
      <w:r>
        <w:rPr>
          <w:rFonts w:cs="Calibri"/>
          <w:sz w:val="24"/>
          <w:szCs w:val="24"/>
        </w:rPr>
        <w:t xml:space="preserve"> Tampouco restou </w:t>
      </w:r>
      <w:r>
        <w:rPr>
          <w:rFonts w:cs="Calibri"/>
          <w:sz w:val="24"/>
          <w:szCs w:val="24"/>
        </w:rPr>
        <w:lastRenderedPageBreak/>
        <w:t>satisfatoriamente comprovado o perigo na demora, limitando-se a parte autora a alegar sua precária condição financeira. Não há qualquer prova do que se alega!</w:t>
      </w:r>
    </w:p>
    <w:p w14:paraId="3F39B889" w14:textId="77777777" w:rsidR="00466D52" w:rsidRPr="00466D52" w:rsidRDefault="00466D52" w:rsidP="00466D52">
      <w:pPr>
        <w:spacing w:line="320" w:lineRule="exact"/>
        <w:ind w:right="426"/>
        <w:jc w:val="both"/>
        <w:rPr>
          <w:rFonts w:cs="Calibri"/>
          <w:sz w:val="24"/>
          <w:szCs w:val="24"/>
        </w:rPr>
      </w:pPr>
    </w:p>
    <w:p w14:paraId="24692C6C" w14:textId="27571A52" w:rsidR="00466D52" w:rsidRPr="00466D52" w:rsidRDefault="00466D52" w:rsidP="00466D52">
      <w:pPr>
        <w:spacing w:line="320" w:lineRule="exact"/>
        <w:ind w:right="426" w:firstLine="708"/>
        <w:jc w:val="both"/>
        <w:rPr>
          <w:rFonts w:cs="Calibri"/>
          <w:sz w:val="24"/>
          <w:szCs w:val="24"/>
        </w:rPr>
      </w:pPr>
      <w:r w:rsidRPr="00466D52">
        <w:rPr>
          <w:rFonts w:cs="Calibri"/>
          <w:sz w:val="24"/>
          <w:szCs w:val="24"/>
        </w:rPr>
        <w:t xml:space="preserve">Nesse contexto, </w:t>
      </w:r>
      <w:r w:rsidR="00647181">
        <w:rPr>
          <w:rFonts w:cs="Calibri"/>
          <w:sz w:val="24"/>
          <w:szCs w:val="24"/>
        </w:rPr>
        <w:t>trazemos valoroso entendimento do Tribunal de Justiça Fluminense que</w:t>
      </w:r>
      <w:r w:rsidRPr="00466D52">
        <w:rPr>
          <w:rFonts w:cs="Calibri"/>
          <w:sz w:val="24"/>
          <w:szCs w:val="24"/>
        </w:rPr>
        <w:t xml:space="preserve"> já se manifestou em diversas outras ocasiões no sentido de que a “</w:t>
      </w:r>
      <w:r w:rsidRPr="00647181">
        <w:rPr>
          <w:rFonts w:cs="Calibri"/>
          <w:i/>
          <w:iCs/>
          <w:sz w:val="24"/>
          <w:szCs w:val="24"/>
        </w:rPr>
        <w:t>concessão ou o indeferimento de liminar que se insere no poder discricionário que a lei confere ao julgador, de modo que a sua reforma somente se justifica se teratológica a decisão, ou manifestamente contrária à prova dos autos</w:t>
      </w:r>
      <w:r w:rsidRPr="00466D52">
        <w:rPr>
          <w:rFonts w:cs="Calibri"/>
          <w:sz w:val="24"/>
          <w:szCs w:val="24"/>
        </w:rPr>
        <w:t>” (Súmula nº 59 do TJRJ).</w:t>
      </w:r>
      <w:r w:rsidR="00647181">
        <w:rPr>
          <w:rFonts w:cs="Calibri"/>
          <w:sz w:val="24"/>
          <w:szCs w:val="24"/>
        </w:rPr>
        <w:t xml:space="preserve"> No caso dos autos INEXISTE MANIFESTA PROVA que resulte numa perceptível verossimilhança e perigo na demora!</w:t>
      </w:r>
    </w:p>
    <w:p w14:paraId="71D9FE1A" w14:textId="77777777" w:rsidR="00466D52" w:rsidRPr="00466D52" w:rsidRDefault="00466D52" w:rsidP="00466D52">
      <w:pPr>
        <w:spacing w:line="320" w:lineRule="exact"/>
        <w:ind w:right="426"/>
        <w:jc w:val="both"/>
        <w:rPr>
          <w:rFonts w:cs="Calibri"/>
          <w:sz w:val="24"/>
          <w:szCs w:val="24"/>
        </w:rPr>
      </w:pPr>
    </w:p>
    <w:p w14:paraId="7325AF44" w14:textId="2F9ED512" w:rsidR="00466D52" w:rsidRPr="00602CED" w:rsidRDefault="00466D52" w:rsidP="00466D52">
      <w:pPr>
        <w:spacing w:line="320" w:lineRule="exact"/>
        <w:ind w:right="426" w:firstLine="708"/>
        <w:jc w:val="both"/>
        <w:rPr>
          <w:rFonts w:cs="Calibri"/>
          <w:sz w:val="24"/>
          <w:szCs w:val="24"/>
        </w:rPr>
      </w:pPr>
      <w:r w:rsidRPr="00466D52">
        <w:rPr>
          <w:rFonts w:cs="Calibri"/>
          <w:sz w:val="24"/>
          <w:szCs w:val="24"/>
        </w:rPr>
        <w:t xml:space="preserve">Por todo o exposto, tendo em vista a ausência de provas consistentes nos autos, de modo a preencher os requisitos autorizadores da concessão da tutela de urgência, conforme preceitua o art. 300, CPC, deve ser de plano </w:t>
      </w:r>
      <w:r w:rsidR="00647181">
        <w:rPr>
          <w:rFonts w:cs="Calibri"/>
          <w:sz w:val="24"/>
          <w:szCs w:val="24"/>
        </w:rPr>
        <w:t>rechaçado o pedido de deferimento de liminar</w:t>
      </w:r>
      <w:r w:rsidRPr="00466D52">
        <w:rPr>
          <w:rFonts w:cs="Calibri"/>
          <w:sz w:val="24"/>
          <w:szCs w:val="24"/>
        </w:rPr>
        <w:t>.</w:t>
      </w:r>
    </w:p>
    <w:p w14:paraId="6FB0FE20" w14:textId="77777777" w:rsidR="00602CED" w:rsidRPr="00602CED" w:rsidRDefault="00602CED" w:rsidP="00480E89">
      <w:pPr>
        <w:spacing w:line="320" w:lineRule="exact"/>
        <w:ind w:right="426"/>
        <w:jc w:val="both"/>
        <w:rPr>
          <w:rFonts w:cs="Calibri"/>
          <w:sz w:val="24"/>
          <w:szCs w:val="24"/>
        </w:rPr>
      </w:pPr>
    </w:p>
    <w:p w14:paraId="297AFFA2" w14:textId="77777777" w:rsidR="00602CED" w:rsidRPr="00000F9C" w:rsidRDefault="00602CED" w:rsidP="00602CED">
      <w:pPr>
        <w:spacing w:before="200" w:after="200" w:line="240" w:lineRule="auto"/>
        <w:ind w:firstLine="708"/>
        <w:jc w:val="both"/>
        <w:rPr>
          <w:rFonts w:cs="Calibri"/>
          <w:b/>
          <w:bCs/>
          <w:noProof/>
          <w:sz w:val="24"/>
          <w:szCs w:val="24"/>
          <w:u w:val="single"/>
        </w:rPr>
      </w:pPr>
      <w:r w:rsidRPr="00000F9C">
        <w:rPr>
          <w:rFonts w:cs="Calibri"/>
          <w:noProof/>
          <w:sz w:val="24"/>
          <w:szCs w:val="24"/>
        </w:rPr>
        <w:t xml:space="preserve">Requer a recorrida que todas as intimações sejam encaminhadas ao escritório de seus patronos, sito na Rua do Passeio, 38, Torre 2, 15 andar, Sala 1509/1512 – Centro - CEP:20021-290 – RJ – Rio de Janeiro e que as publicações sejam realizadas, exclusivamente, em nome do patrono </w:t>
      </w:r>
      <w:r w:rsidRPr="00000F9C">
        <w:rPr>
          <w:rFonts w:cs="Calibri"/>
          <w:b/>
          <w:bCs/>
          <w:noProof/>
          <w:sz w:val="24"/>
          <w:szCs w:val="24"/>
          <w:u w:val="single"/>
        </w:rPr>
        <w:t>Dr. JOÃO ALVES BARBOSA FILHO, inscrito sob o nº OAB/RS 90657-A, sob pena de nulidade das mesmas.</w:t>
      </w:r>
    </w:p>
    <w:p w14:paraId="6EADBD18" w14:textId="77777777" w:rsidR="00602CED" w:rsidRPr="00000F9C" w:rsidRDefault="00602CED" w:rsidP="00602CED">
      <w:pPr>
        <w:pStyle w:val="PargrafodaLista"/>
        <w:tabs>
          <w:tab w:val="left" w:pos="709"/>
        </w:tabs>
        <w:spacing w:line="320" w:lineRule="exact"/>
        <w:ind w:left="0" w:right="426"/>
        <w:jc w:val="both"/>
        <w:rPr>
          <w:rFonts w:ascii="Calibri" w:hAnsi="Calibri" w:cs="Calibri"/>
        </w:rPr>
      </w:pPr>
    </w:p>
    <w:p w14:paraId="1A3C3A5B" w14:textId="77777777" w:rsidR="00602CED" w:rsidRPr="00000F9C" w:rsidRDefault="00602CED" w:rsidP="00602CED">
      <w:pPr>
        <w:spacing w:before="200" w:after="200" w:line="240" w:lineRule="auto"/>
        <w:ind w:right="426"/>
        <w:jc w:val="center"/>
        <w:rPr>
          <w:rFonts w:eastAsiaTheme="minorEastAsia" w:cs="Calibri"/>
          <w:sz w:val="24"/>
          <w:szCs w:val="24"/>
          <w:lang w:eastAsia="ja-JP"/>
        </w:rPr>
      </w:pPr>
      <w:r w:rsidRPr="00000F9C">
        <w:rPr>
          <w:rFonts w:eastAsiaTheme="minorEastAsia" w:cs="Calibri"/>
          <w:sz w:val="24"/>
          <w:szCs w:val="24"/>
          <w:lang w:eastAsia="ja-JP"/>
        </w:rPr>
        <w:t>Nestes Termos,</w:t>
      </w:r>
      <w:r w:rsidRPr="00000F9C">
        <w:rPr>
          <w:rFonts w:eastAsiaTheme="minorEastAsia" w:cs="Calibri"/>
          <w:sz w:val="24"/>
          <w:szCs w:val="24"/>
          <w:lang w:eastAsia="ja-JP"/>
        </w:rPr>
        <w:br/>
        <w:t> Pede Deferimento,</w:t>
      </w:r>
    </w:p>
    <w:p w14:paraId="1397799F" w14:textId="34451470" w:rsidR="00602CED" w:rsidRPr="00000F9C" w:rsidRDefault="00602CED" w:rsidP="00602CED">
      <w:pPr>
        <w:spacing w:before="200" w:after="200" w:line="240" w:lineRule="auto"/>
        <w:ind w:right="426"/>
        <w:jc w:val="center"/>
        <w:rPr>
          <w:rFonts w:eastAsiaTheme="minorEastAsia" w:cs="Calibri"/>
          <w:sz w:val="24"/>
          <w:szCs w:val="24"/>
          <w:lang w:eastAsia="ja-JP"/>
        </w:rPr>
      </w:pPr>
      <w:r w:rsidRPr="00000F9C">
        <w:rPr>
          <w:rFonts w:eastAsiaTheme="minorEastAsia" w:cs="Calibri"/>
          <w:sz w:val="24"/>
          <w:szCs w:val="24"/>
          <w:lang w:eastAsia="ja-JP"/>
        </w:rPr>
        <w:br/>
      </w:r>
      <w:r>
        <w:rPr>
          <w:rFonts w:eastAsiaTheme="minorEastAsia" w:cs="Calibri"/>
          <w:sz w:val="24"/>
          <w:szCs w:val="24"/>
          <w:lang w:eastAsia="ja-JP"/>
        </w:rPr>
        <w:t>PORTO ALEGRE</w:t>
      </w:r>
      <w:r w:rsidRPr="00000F9C">
        <w:rPr>
          <w:rFonts w:eastAsiaTheme="minorEastAsia" w:cs="Calibri"/>
          <w:sz w:val="24"/>
          <w:szCs w:val="24"/>
          <w:lang w:eastAsia="ja-JP"/>
        </w:rPr>
        <w:t xml:space="preserve">, </w:t>
      </w:r>
      <w:r w:rsidR="00D87256">
        <w:rPr>
          <w:rFonts w:eastAsiaTheme="minorEastAsia" w:cs="Calibri"/>
          <w:sz w:val="24"/>
          <w:szCs w:val="24"/>
          <w:lang w:eastAsia="ja-JP"/>
        </w:rPr>
        <w:t>23</w:t>
      </w:r>
      <w:r w:rsidRPr="00000F9C">
        <w:rPr>
          <w:rFonts w:eastAsiaTheme="minorEastAsia" w:cs="Calibri"/>
          <w:sz w:val="24"/>
          <w:szCs w:val="24"/>
          <w:lang w:eastAsia="ja-JP"/>
        </w:rPr>
        <w:t xml:space="preserve"> de </w:t>
      </w:r>
      <w:proofErr w:type="gramStart"/>
      <w:r>
        <w:rPr>
          <w:rFonts w:eastAsiaTheme="minorEastAsia" w:cs="Calibri"/>
          <w:sz w:val="24"/>
          <w:szCs w:val="24"/>
          <w:lang w:eastAsia="ja-JP"/>
        </w:rPr>
        <w:t>Junho</w:t>
      </w:r>
      <w:proofErr w:type="gramEnd"/>
      <w:r w:rsidRPr="00000F9C">
        <w:rPr>
          <w:rFonts w:eastAsiaTheme="minorEastAsia" w:cs="Calibri"/>
          <w:sz w:val="24"/>
          <w:szCs w:val="24"/>
          <w:lang w:eastAsia="ja-JP"/>
        </w:rPr>
        <w:t xml:space="preserve"> de 2023.</w:t>
      </w:r>
    </w:p>
    <w:p w14:paraId="352183F5" w14:textId="77777777" w:rsidR="00602CED" w:rsidRPr="00000F9C" w:rsidRDefault="00602CED" w:rsidP="00602CED">
      <w:pPr>
        <w:spacing w:before="200" w:after="200" w:line="240" w:lineRule="auto"/>
        <w:ind w:right="426"/>
        <w:jc w:val="center"/>
        <w:rPr>
          <w:rFonts w:cs="Calibri"/>
          <w:sz w:val="24"/>
          <w:szCs w:val="24"/>
        </w:rPr>
      </w:pPr>
      <w:r w:rsidRPr="00000F9C">
        <w:rPr>
          <w:rFonts w:eastAsiaTheme="minorEastAsia" w:cs="Calibri"/>
          <w:sz w:val="24"/>
          <w:szCs w:val="24"/>
          <w:lang w:eastAsia="ja-JP"/>
        </w:rPr>
        <w:br/>
      </w:r>
      <w:r w:rsidRPr="00000F9C">
        <w:rPr>
          <w:rFonts w:cs="Calibri"/>
          <w:b/>
          <w:bCs/>
          <w:sz w:val="24"/>
          <w:szCs w:val="24"/>
        </w:rPr>
        <w:t>JOÃO BARBOSA</w:t>
      </w:r>
      <w:r w:rsidRPr="00000F9C">
        <w:rPr>
          <w:rFonts w:cs="Calibri"/>
          <w:b/>
          <w:bCs/>
          <w:sz w:val="24"/>
          <w:szCs w:val="24"/>
        </w:rPr>
        <w:br/>
        <w:t>OAB/RS 90657-A</w:t>
      </w:r>
    </w:p>
    <w:p w14:paraId="60DCF190" w14:textId="0C354106" w:rsidR="00FA2C18" w:rsidRPr="00602CED" w:rsidRDefault="005941C5" w:rsidP="00E962C2">
      <w:pPr>
        <w:spacing w:before="200" w:after="200" w:line="240" w:lineRule="auto"/>
        <w:jc w:val="both"/>
        <w:rPr>
          <w:sz w:val="24"/>
          <w:szCs w:val="24"/>
        </w:rPr>
      </w:pPr>
      <w:r w:rsidRPr="00602CED">
        <w:rPr>
          <w:rFonts w:cs="Calibri"/>
          <w:sz w:val="24"/>
          <w:szCs w:val="24"/>
        </w:rPr>
        <w:t> </w:t>
      </w:r>
    </w:p>
    <w:sectPr w:rsidR="00FA2C18" w:rsidRPr="00602CED"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AE48C" w14:textId="77777777" w:rsidR="00255B3C" w:rsidRDefault="00255B3C">
      <w:pPr>
        <w:spacing w:after="0" w:line="240" w:lineRule="auto"/>
      </w:pPr>
      <w:r>
        <w:separator/>
      </w:r>
    </w:p>
  </w:endnote>
  <w:endnote w:type="continuationSeparator" w:id="0">
    <w:p w14:paraId="705693C1" w14:textId="77777777" w:rsidR="00255B3C" w:rsidRDefault="00255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3502" w14:textId="77777777" w:rsidR="00FA2C18" w:rsidRDefault="005941C5" w:rsidP="00FE5317">
    <w:pPr>
      <w:pStyle w:val="Rodap"/>
      <w:jc w:val="center"/>
      <w:rPr>
        <w:sz w:val="18"/>
      </w:rPr>
    </w:pPr>
    <w:r w:rsidRPr="00FA2C18">
      <w:rPr>
        <w:sz w:val="18"/>
      </w:rPr>
      <w:t>Rua do Passeio, 38, Torre 2, 15º andar - Sala 1509/1512 – Centro - RJ – Rio de Janeiro - CEP:20021-290</w:t>
    </w:r>
  </w:p>
  <w:p w14:paraId="2F8B6DF0" w14:textId="77777777" w:rsidR="00FE5317" w:rsidRPr="00FE5317" w:rsidRDefault="005941C5" w:rsidP="00FE5317">
    <w:pPr>
      <w:pStyle w:val="Rodap"/>
      <w:jc w:val="center"/>
      <w:rPr>
        <w:sz w:val="18"/>
      </w:rPr>
    </w:pPr>
    <w:r w:rsidRPr="00FE5317">
      <w:rPr>
        <w:sz w:val="18"/>
      </w:rPr>
      <w:t>www.joaobarbosaadvass.com.br</w:t>
    </w:r>
  </w:p>
  <w:p w14:paraId="13054C5C"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4FA8E" w14:textId="77777777" w:rsidR="00255B3C" w:rsidRDefault="00255B3C">
      <w:pPr>
        <w:spacing w:after="0" w:line="240" w:lineRule="auto"/>
      </w:pPr>
      <w:r>
        <w:separator/>
      </w:r>
    </w:p>
  </w:footnote>
  <w:footnote w:type="continuationSeparator" w:id="0">
    <w:p w14:paraId="0CBFC568" w14:textId="77777777" w:rsidR="00255B3C" w:rsidRDefault="00255B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11A32"/>
    <w:multiLevelType w:val="hybridMultilevel"/>
    <w:tmpl w:val="FD266818"/>
    <w:lvl w:ilvl="0" w:tplc="F52637E8">
      <w:start w:val="1"/>
      <w:numFmt w:val="decimal"/>
      <w:lvlText w:val="%1."/>
      <w:lvlJc w:val="left"/>
      <w:pPr>
        <w:ind w:left="1778" w:hanging="360"/>
      </w:pPr>
      <w:rPr>
        <w:rFonts w:hint="default"/>
        <w:b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5368127B"/>
    <w:multiLevelType w:val="hybridMultilevel"/>
    <w:tmpl w:val="5CDAAFEA"/>
    <w:lvl w:ilvl="0" w:tplc="4BDCA1F6">
      <w:start w:val="1"/>
      <w:numFmt w:val="decimal"/>
      <w:lvlText w:val="%1."/>
      <w:lvlJc w:val="left"/>
      <w:pPr>
        <w:ind w:left="1778" w:hanging="360"/>
      </w:pPr>
      <w:rPr>
        <w:rFonts w:eastAsia="Cambria" w:hint="default"/>
        <w:b w:val="0"/>
        <w:u w:val="none"/>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16cid:durableId="1613396751">
    <w:abstractNumId w:val="0"/>
  </w:num>
  <w:num w:numId="2" w16cid:durableId="276110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55B3C"/>
    <w:rsid w:val="00326B23"/>
    <w:rsid w:val="003349B7"/>
    <w:rsid w:val="0037684E"/>
    <w:rsid w:val="00387F34"/>
    <w:rsid w:val="003F5DCE"/>
    <w:rsid w:val="00404C94"/>
    <w:rsid w:val="00466D52"/>
    <w:rsid w:val="00480E89"/>
    <w:rsid w:val="00486EBB"/>
    <w:rsid w:val="004C1027"/>
    <w:rsid w:val="0052134B"/>
    <w:rsid w:val="00530F86"/>
    <w:rsid w:val="005663F9"/>
    <w:rsid w:val="005869BC"/>
    <w:rsid w:val="005941C5"/>
    <w:rsid w:val="005D4224"/>
    <w:rsid w:val="005E226B"/>
    <w:rsid w:val="00602CED"/>
    <w:rsid w:val="00647181"/>
    <w:rsid w:val="00654BB2"/>
    <w:rsid w:val="006B5371"/>
    <w:rsid w:val="006F66E3"/>
    <w:rsid w:val="006F7A6B"/>
    <w:rsid w:val="00701612"/>
    <w:rsid w:val="0076787A"/>
    <w:rsid w:val="007E1F86"/>
    <w:rsid w:val="00873596"/>
    <w:rsid w:val="008B00C4"/>
    <w:rsid w:val="008E1AB2"/>
    <w:rsid w:val="008F4CF5"/>
    <w:rsid w:val="00956E0D"/>
    <w:rsid w:val="00965291"/>
    <w:rsid w:val="009D3C6C"/>
    <w:rsid w:val="009E3B76"/>
    <w:rsid w:val="00C81778"/>
    <w:rsid w:val="00CC074C"/>
    <w:rsid w:val="00D87256"/>
    <w:rsid w:val="00DA4388"/>
    <w:rsid w:val="00E015EA"/>
    <w:rsid w:val="00E67247"/>
    <w:rsid w:val="00E962C2"/>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894B"/>
  <w15:docId w15:val="{A173964C-702F-4378-9A92-F2209F7B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paragraph" w:styleId="NormalWeb">
    <w:name w:val="Normal (Web)"/>
    <w:basedOn w:val="Normal"/>
    <w:uiPriority w:val="99"/>
    <w:semiHidden/>
    <w:unhideWhenUsed/>
    <w:rsid w:val="005941C5"/>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8B0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602CED"/>
    <w:pPr>
      <w:spacing w:after="0" w:line="240" w:lineRule="auto"/>
      <w:ind w:left="720"/>
      <w:contextualSpacing/>
    </w:pPr>
    <w:rPr>
      <w:rFonts w:asciiTheme="minorHAnsi" w:eastAsiaTheme="minorEastAsia" w:hAnsiTheme="minorHAnsi" w:cstheme="minorBidi"/>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91675">
      <w:bodyDiv w:val="1"/>
      <w:marLeft w:val="0"/>
      <w:marRight w:val="0"/>
      <w:marTop w:val="0"/>
      <w:marBottom w:val="0"/>
      <w:divBdr>
        <w:top w:val="none" w:sz="0" w:space="0" w:color="auto"/>
        <w:left w:val="none" w:sz="0" w:space="0" w:color="auto"/>
        <w:bottom w:val="none" w:sz="0" w:space="0" w:color="auto"/>
        <w:right w:val="none" w:sz="0" w:space="0" w:color="auto"/>
      </w:divBdr>
    </w:div>
    <w:div w:id="238296644">
      <w:bodyDiv w:val="1"/>
      <w:marLeft w:val="0"/>
      <w:marRight w:val="0"/>
      <w:marTop w:val="0"/>
      <w:marBottom w:val="0"/>
      <w:divBdr>
        <w:top w:val="none" w:sz="0" w:space="0" w:color="auto"/>
        <w:left w:val="none" w:sz="0" w:space="0" w:color="auto"/>
        <w:bottom w:val="none" w:sz="0" w:space="0" w:color="auto"/>
        <w:right w:val="none" w:sz="0" w:space="0" w:color="auto"/>
      </w:divBdr>
    </w:div>
    <w:div w:id="554700837">
      <w:bodyDiv w:val="1"/>
      <w:marLeft w:val="0"/>
      <w:marRight w:val="0"/>
      <w:marTop w:val="0"/>
      <w:marBottom w:val="0"/>
      <w:divBdr>
        <w:top w:val="none" w:sz="0" w:space="0" w:color="auto"/>
        <w:left w:val="none" w:sz="0" w:space="0" w:color="auto"/>
        <w:bottom w:val="none" w:sz="0" w:space="0" w:color="auto"/>
        <w:right w:val="none" w:sz="0" w:space="0" w:color="auto"/>
      </w:divBdr>
    </w:div>
    <w:div w:id="7036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1009</Words>
  <Characters>5454</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2023-06-23T21:08:00Z</dcterms:created>
  <dcterms:modified xsi:type="dcterms:W3CDTF">2023-06-23T21:08:00Z</dcterms:modified>
</cp:coreProperties>
</file>