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lang w:eastAsia="pt-BR"/>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074ED884"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77468F4A" w14:textId="47F30487" w:rsidR="00DA4388" w:rsidRDefault="005941C5" w:rsidP="00396D72">
      <w:pPr>
        <w:spacing w:before="200" w:after="200" w:line="240" w:lineRule="auto"/>
        <w:ind w:right="426"/>
        <w:jc w:val="both"/>
        <w:rPr>
          <w:rFonts w:cs="Calibri"/>
          <w:b/>
          <w:bCs/>
          <w:sz w:val="24"/>
          <w:szCs w:val="24"/>
        </w:rPr>
      </w:pPr>
      <w:r w:rsidRPr="003E11A0">
        <w:rPr>
          <w:rFonts w:cs="Calibri"/>
        </w:rPr>
        <w:t> </w:t>
      </w:r>
      <w:r w:rsidRPr="002D5FB7">
        <w:rPr>
          <w:rFonts w:cs="Calibri"/>
          <w:b/>
          <w:bCs/>
          <w:sz w:val="24"/>
          <w:szCs w:val="24"/>
        </w:rPr>
        <w:t>EXM</w:t>
      </w:r>
      <w:r w:rsidR="004C7639" w:rsidRPr="002D5FB7">
        <w:rPr>
          <w:rFonts w:cs="Calibri"/>
          <w:b/>
          <w:bCs/>
          <w:sz w:val="24"/>
          <w:szCs w:val="24"/>
        </w:rPr>
        <w:t>O</w:t>
      </w:r>
      <w:r w:rsidRPr="002D5FB7">
        <w:rPr>
          <w:rFonts w:cs="Calibri"/>
          <w:b/>
          <w:bCs/>
          <w:sz w:val="24"/>
          <w:szCs w:val="24"/>
        </w:rPr>
        <w:t xml:space="preserve">. SR. DR. JUIZ </w:t>
      </w:r>
      <w:r w:rsidR="008B00C4" w:rsidRPr="002D5FB7">
        <w:rPr>
          <w:rFonts w:cs="Calibri"/>
          <w:b/>
          <w:bCs/>
          <w:sz w:val="24"/>
          <w:szCs w:val="24"/>
        </w:rPr>
        <w:t>FEDERAL</w:t>
      </w:r>
      <w:r w:rsidR="004C7639" w:rsidRPr="002D5FB7">
        <w:rPr>
          <w:rFonts w:cs="Calibri"/>
          <w:b/>
          <w:bCs/>
          <w:sz w:val="24"/>
          <w:szCs w:val="24"/>
        </w:rPr>
        <w:t xml:space="preserve"> </w:t>
      </w:r>
      <w:r w:rsidRPr="002D5FB7">
        <w:rPr>
          <w:rFonts w:cs="Calibri"/>
          <w:b/>
          <w:bCs/>
          <w:sz w:val="24"/>
          <w:szCs w:val="24"/>
        </w:rPr>
        <w:t>D</w:t>
      </w:r>
      <w:r w:rsidR="008B00C4" w:rsidRPr="002D5FB7">
        <w:rPr>
          <w:rFonts w:cs="Calibri"/>
          <w:b/>
          <w:bCs/>
          <w:sz w:val="24"/>
          <w:szCs w:val="24"/>
        </w:rPr>
        <w:t>A</w:t>
      </w:r>
      <w:r w:rsidRPr="002D5FB7">
        <w:rPr>
          <w:rFonts w:cs="Calibri"/>
          <w:b/>
          <w:bCs/>
          <w:sz w:val="24"/>
          <w:szCs w:val="24"/>
        </w:rPr>
        <w:t xml:space="preserve"> </w:t>
      </w:r>
      <w:r w:rsidR="00181DE2" w:rsidRPr="002D5FB7">
        <w:rPr>
          <w:rFonts w:cs="Calibri"/>
          <w:b/>
          <w:bCs/>
          <w:sz w:val="24"/>
          <w:szCs w:val="24"/>
        </w:rPr>
        <w:t>2</w:t>
      </w:r>
      <w:r w:rsidR="003F2F46">
        <w:rPr>
          <w:rFonts w:cs="Calibri"/>
          <w:b/>
          <w:bCs/>
          <w:sz w:val="24"/>
          <w:szCs w:val="24"/>
        </w:rPr>
        <w:t>4</w:t>
      </w:r>
      <w:r w:rsidR="00396D72" w:rsidRPr="002D5FB7">
        <w:rPr>
          <w:rFonts w:cs="Calibri"/>
          <w:b/>
          <w:bCs/>
          <w:sz w:val="24"/>
          <w:szCs w:val="24"/>
        </w:rPr>
        <w:t xml:space="preserve">ª VARA FEDERAL DA SUBSEÇÃO DE </w:t>
      </w:r>
      <w:r w:rsidR="009A57CE">
        <w:rPr>
          <w:rFonts w:cs="Calibri"/>
          <w:b/>
          <w:bCs/>
          <w:sz w:val="24"/>
          <w:szCs w:val="24"/>
        </w:rPr>
        <w:t>PORTO ALEGRE</w:t>
      </w:r>
      <w:r w:rsidR="004C7639" w:rsidRPr="002D5FB7">
        <w:rPr>
          <w:rFonts w:cs="Calibri"/>
          <w:b/>
          <w:bCs/>
          <w:sz w:val="24"/>
          <w:szCs w:val="24"/>
        </w:rPr>
        <w:t xml:space="preserve"> DA</w:t>
      </w:r>
      <w:r w:rsidRPr="002D5FB7">
        <w:rPr>
          <w:rFonts w:cs="Calibri"/>
          <w:b/>
          <w:bCs/>
          <w:sz w:val="24"/>
          <w:szCs w:val="24"/>
        </w:rPr>
        <w:t xml:space="preserve"> </w:t>
      </w:r>
      <w:r w:rsidR="008B00C4" w:rsidRPr="002D5FB7">
        <w:rPr>
          <w:rFonts w:cs="Calibri"/>
          <w:b/>
          <w:bCs/>
          <w:sz w:val="24"/>
          <w:szCs w:val="24"/>
        </w:rPr>
        <w:t>SEÇÃO JUDICIÁRIA DO RIO GRANDE DO SUL</w:t>
      </w:r>
    </w:p>
    <w:p w14:paraId="405661B5" w14:textId="77777777" w:rsidR="00E81E3A" w:rsidRDefault="00E81E3A" w:rsidP="00396D72">
      <w:pPr>
        <w:spacing w:before="200" w:after="200" w:line="240" w:lineRule="auto"/>
        <w:ind w:right="426"/>
        <w:jc w:val="both"/>
        <w:rPr>
          <w:rFonts w:cs="Calibri"/>
          <w:b/>
          <w:bCs/>
          <w:sz w:val="24"/>
          <w:szCs w:val="24"/>
        </w:rPr>
      </w:pPr>
    </w:p>
    <w:p w14:paraId="4CEF2642" w14:textId="77777777" w:rsidR="00E81E3A" w:rsidRPr="002D5FB7" w:rsidRDefault="00E81E3A" w:rsidP="00396D72">
      <w:pPr>
        <w:spacing w:before="200" w:after="200" w:line="240" w:lineRule="auto"/>
        <w:ind w:right="426"/>
        <w:jc w:val="both"/>
        <w:rPr>
          <w:rFonts w:cs="Calibri"/>
          <w:sz w:val="24"/>
          <w:szCs w:val="24"/>
        </w:rPr>
      </w:pPr>
    </w:p>
    <w:p w14:paraId="68F3FC25" w14:textId="77777777" w:rsidR="00DA4388" w:rsidRPr="002D5FB7" w:rsidRDefault="005941C5" w:rsidP="00396D72">
      <w:pPr>
        <w:spacing w:before="200" w:after="200" w:line="240" w:lineRule="auto"/>
        <w:ind w:right="426"/>
        <w:jc w:val="both"/>
        <w:rPr>
          <w:rFonts w:cs="Calibri"/>
          <w:sz w:val="24"/>
          <w:szCs w:val="24"/>
        </w:rPr>
      </w:pPr>
      <w:r w:rsidRPr="002D5FB7">
        <w:rPr>
          <w:rFonts w:cs="Calibri"/>
          <w:sz w:val="24"/>
          <w:szCs w:val="24"/>
        </w:rPr>
        <w:t> </w:t>
      </w:r>
    </w:p>
    <w:p w14:paraId="70D5ED8D" w14:textId="0FED9B73" w:rsidR="005941C5" w:rsidRDefault="009A57CE" w:rsidP="00396D72">
      <w:pPr>
        <w:spacing w:before="200" w:after="200" w:line="240" w:lineRule="auto"/>
        <w:ind w:right="426"/>
        <w:jc w:val="both"/>
        <w:rPr>
          <w:rFonts w:cs="Calibri"/>
          <w:b/>
          <w:bCs/>
          <w:sz w:val="24"/>
          <w:szCs w:val="24"/>
        </w:rPr>
      </w:pPr>
      <w:r>
        <w:rPr>
          <w:rFonts w:cs="Calibri"/>
          <w:b/>
          <w:bCs/>
          <w:sz w:val="24"/>
          <w:szCs w:val="24"/>
        </w:rPr>
        <w:t xml:space="preserve">PROCESSO </w:t>
      </w:r>
      <w:r w:rsidR="00886EC8" w:rsidRPr="00886EC8">
        <w:rPr>
          <w:rFonts w:cs="Calibri"/>
          <w:b/>
          <w:bCs/>
          <w:sz w:val="24"/>
          <w:szCs w:val="24"/>
        </w:rPr>
        <w:t>Nº</w:t>
      </w:r>
      <w:r w:rsidR="00886EC8">
        <w:rPr>
          <w:rFonts w:cs="Calibri"/>
          <w:b/>
          <w:bCs/>
          <w:sz w:val="24"/>
          <w:szCs w:val="24"/>
        </w:rPr>
        <w:t>:</w:t>
      </w:r>
      <w:r w:rsidR="00886EC8" w:rsidRPr="00886EC8">
        <w:rPr>
          <w:rFonts w:cs="Calibri"/>
          <w:b/>
          <w:bCs/>
          <w:sz w:val="24"/>
          <w:szCs w:val="24"/>
        </w:rPr>
        <w:t xml:space="preserve"> </w:t>
      </w:r>
      <w:r w:rsidR="003F2F46" w:rsidRPr="003F2F46">
        <w:rPr>
          <w:rFonts w:cs="Calibri"/>
          <w:b/>
          <w:bCs/>
          <w:sz w:val="24"/>
          <w:szCs w:val="24"/>
        </w:rPr>
        <w:t xml:space="preserve">50430922820234047100 </w:t>
      </w:r>
      <w:r w:rsidR="00886EC8" w:rsidRPr="00886EC8">
        <w:rPr>
          <w:rFonts w:cs="Calibri"/>
          <w:b/>
          <w:bCs/>
          <w:sz w:val="24"/>
          <w:szCs w:val="24"/>
        </w:rPr>
        <w:t>/RS</w:t>
      </w:r>
    </w:p>
    <w:p w14:paraId="37B42494" w14:textId="77777777" w:rsidR="00E81E3A" w:rsidRDefault="00E81E3A" w:rsidP="00396D72">
      <w:pPr>
        <w:spacing w:before="200" w:after="200" w:line="240" w:lineRule="auto"/>
        <w:ind w:right="426"/>
        <w:jc w:val="both"/>
        <w:rPr>
          <w:rFonts w:cs="Calibri"/>
          <w:b/>
          <w:bCs/>
          <w:sz w:val="24"/>
          <w:szCs w:val="24"/>
        </w:rPr>
      </w:pPr>
    </w:p>
    <w:p w14:paraId="14EC17B6" w14:textId="77777777" w:rsidR="00E81E3A" w:rsidRPr="002D5FB7" w:rsidRDefault="00E81E3A" w:rsidP="00396D72">
      <w:pPr>
        <w:spacing w:before="200" w:after="200" w:line="240" w:lineRule="auto"/>
        <w:ind w:right="426"/>
        <w:jc w:val="both"/>
        <w:rPr>
          <w:rFonts w:cs="Calibri"/>
          <w:sz w:val="24"/>
          <w:szCs w:val="24"/>
        </w:rPr>
      </w:pPr>
    </w:p>
    <w:p w14:paraId="70112798" w14:textId="2613FE2A" w:rsidR="008F4CF5" w:rsidRPr="002D5FB7" w:rsidRDefault="005941C5" w:rsidP="00396D72">
      <w:pPr>
        <w:spacing w:line="320" w:lineRule="exact"/>
        <w:ind w:right="426" w:firstLine="1440"/>
        <w:jc w:val="both"/>
        <w:rPr>
          <w:rFonts w:cs="Calibri"/>
          <w:sz w:val="24"/>
          <w:szCs w:val="24"/>
        </w:rPr>
      </w:pPr>
      <w:r w:rsidRPr="002D5FB7">
        <w:rPr>
          <w:rFonts w:cs="Calibri"/>
          <w:b/>
          <w:bCs/>
          <w:sz w:val="24"/>
          <w:szCs w:val="24"/>
        </w:rPr>
        <w:t>                              CAIXA ECONOMICA FEDERAL</w:t>
      </w:r>
      <w:r w:rsidRPr="002D5FB7">
        <w:rPr>
          <w:rFonts w:cs="Calibri"/>
          <w:sz w:val="24"/>
          <w:szCs w:val="24"/>
        </w:rPr>
        <w:t xml:space="preserve">, previamente qualificada nos autos do processo em epígrafe, neste ato, representada por seus advogados que </w:t>
      </w:r>
      <w:proofErr w:type="gramStart"/>
      <w:r w:rsidRPr="002D5FB7">
        <w:rPr>
          <w:rFonts w:cs="Calibri"/>
          <w:sz w:val="24"/>
          <w:szCs w:val="24"/>
        </w:rPr>
        <w:t>esta subscrevem</w:t>
      </w:r>
      <w:proofErr w:type="gramEnd"/>
      <w:r w:rsidRPr="002D5FB7">
        <w:rPr>
          <w:rFonts w:cs="Calibri"/>
          <w:sz w:val="24"/>
          <w:szCs w:val="24"/>
        </w:rPr>
        <w:t xml:space="preserve">, nos autos da </w:t>
      </w:r>
      <w:r w:rsidR="009A57CE" w:rsidRPr="009A57CE">
        <w:rPr>
          <w:rFonts w:cs="Calibri"/>
          <w:b/>
          <w:bCs/>
          <w:i/>
          <w:iCs/>
          <w:sz w:val="24"/>
          <w:szCs w:val="24"/>
        </w:rPr>
        <w:t>AÇÃO DE COBRANÇA DE DESPESAS CONDOMINIAIS</w:t>
      </w:r>
      <w:r w:rsidRPr="002D5FB7">
        <w:rPr>
          <w:rFonts w:cs="Calibri"/>
          <w:b/>
          <w:bCs/>
          <w:i/>
          <w:iCs/>
          <w:sz w:val="24"/>
          <w:szCs w:val="24"/>
        </w:rPr>
        <w:t xml:space="preserve">, </w:t>
      </w:r>
      <w:r w:rsidRPr="002D5FB7">
        <w:rPr>
          <w:rFonts w:cs="Calibri"/>
          <w:sz w:val="24"/>
          <w:szCs w:val="24"/>
        </w:rPr>
        <w:t>promov</w:t>
      </w:r>
      <w:r w:rsidR="003973E1">
        <w:rPr>
          <w:rFonts w:cs="Calibri"/>
          <w:sz w:val="24"/>
          <w:szCs w:val="24"/>
        </w:rPr>
        <w:t>ida em face de</w:t>
      </w:r>
      <w:r w:rsidR="009A57CE">
        <w:rPr>
          <w:rFonts w:cs="Calibri"/>
          <w:sz w:val="24"/>
          <w:szCs w:val="24"/>
        </w:rPr>
        <w:t xml:space="preserve"> </w:t>
      </w:r>
      <w:r w:rsidR="009A57CE" w:rsidRPr="009A57CE">
        <w:rPr>
          <w:rFonts w:cs="Calibri"/>
          <w:b/>
          <w:sz w:val="24"/>
          <w:szCs w:val="24"/>
        </w:rPr>
        <w:t>CONDOMÍNIO RESIDENCIAL PROVINCIA DO PORTO</w:t>
      </w:r>
      <w:r w:rsidR="00320DCE" w:rsidRPr="002D5FB7">
        <w:rPr>
          <w:rFonts w:cs="Calibri"/>
          <w:b/>
          <w:bCs/>
          <w:sz w:val="24"/>
          <w:szCs w:val="24"/>
        </w:rPr>
        <w:t xml:space="preserve">, </w:t>
      </w:r>
      <w:r w:rsidR="00E962C2" w:rsidRPr="002D5FB7">
        <w:rPr>
          <w:rFonts w:cs="Calibri"/>
          <w:sz w:val="24"/>
          <w:szCs w:val="24"/>
        </w:rPr>
        <w:t xml:space="preserve">vem, por seus advogados abaixo assinados, em atenção ao </w:t>
      </w:r>
      <w:r w:rsidR="00090C70" w:rsidRPr="002D5FB7">
        <w:rPr>
          <w:rFonts w:cs="Calibri"/>
          <w:sz w:val="24"/>
          <w:szCs w:val="24"/>
        </w:rPr>
        <w:t>recurso interposto pela parte autora</w:t>
      </w:r>
      <w:r w:rsidR="00E962C2" w:rsidRPr="002D5FB7">
        <w:rPr>
          <w:rFonts w:cs="Calibri"/>
          <w:sz w:val="24"/>
          <w:szCs w:val="24"/>
        </w:rPr>
        <w:t>,</w:t>
      </w:r>
      <w:r w:rsidR="00320DCE" w:rsidRPr="002D5FB7">
        <w:rPr>
          <w:rFonts w:cs="Calibri"/>
          <w:sz w:val="24"/>
          <w:szCs w:val="24"/>
        </w:rPr>
        <w:t xml:space="preserve"> pelas razões e fundamentos a seguir expostos,</w:t>
      </w:r>
      <w:r w:rsidR="004C7639" w:rsidRPr="002D5FB7">
        <w:rPr>
          <w:rFonts w:cs="Calibri"/>
          <w:sz w:val="24"/>
          <w:szCs w:val="24"/>
        </w:rPr>
        <w:t xml:space="preserve"> apresentar suas:</w:t>
      </w:r>
    </w:p>
    <w:p w14:paraId="7FFA8188" w14:textId="484840B5" w:rsidR="004C7639" w:rsidRPr="002D5FB7" w:rsidRDefault="004C7639" w:rsidP="00396D72">
      <w:pPr>
        <w:spacing w:line="320" w:lineRule="exact"/>
        <w:ind w:right="426" w:firstLine="1440"/>
        <w:jc w:val="both"/>
        <w:rPr>
          <w:rFonts w:cs="Calibri"/>
          <w:sz w:val="24"/>
          <w:szCs w:val="24"/>
        </w:rPr>
      </w:pPr>
    </w:p>
    <w:p w14:paraId="16E734CD" w14:textId="5A930EA3" w:rsidR="004C7639" w:rsidRPr="002D5FB7" w:rsidRDefault="004C7639" w:rsidP="00396D72">
      <w:pPr>
        <w:spacing w:line="320" w:lineRule="exact"/>
        <w:ind w:right="426" w:firstLine="1440"/>
        <w:jc w:val="center"/>
        <w:rPr>
          <w:rFonts w:cs="Calibri"/>
          <w:b/>
          <w:bCs/>
          <w:sz w:val="24"/>
          <w:szCs w:val="24"/>
          <w:u w:val="single"/>
        </w:rPr>
      </w:pPr>
      <w:r w:rsidRPr="002D5FB7">
        <w:rPr>
          <w:rFonts w:cs="Calibri"/>
          <w:b/>
          <w:bCs/>
          <w:sz w:val="24"/>
          <w:szCs w:val="24"/>
          <w:u w:val="single"/>
        </w:rPr>
        <w:t xml:space="preserve">CONTRARRAZÕES AO RECURSO </w:t>
      </w:r>
      <w:r w:rsidR="0004661C" w:rsidRPr="002D5FB7">
        <w:rPr>
          <w:rFonts w:cs="Calibri"/>
          <w:b/>
          <w:bCs/>
          <w:sz w:val="24"/>
          <w:szCs w:val="24"/>
          <w:u w:val="single"/>
        </w:rPr>
        <w:t>INOMINADO</w:t>
      </w:r>
    </w:p>
    <w:p w14:paraId="11F6A7B2" w14:textId="77777777" w:rsidR="00673F32" w:rsidRPr="002D5FB7" w:rsidRDefault="00673F32" w:rsidP="00396D72">
      <w:pPr>
        <w:spacing w:before="200" w:after="200" w:line="240" w:lineRule="auto"/>
        <w:ind w:right="426" w:firstLine="708"/>
        <w:jc w:val="both"/>
        <w:rPr>
          <w:rFonts w:cs="Calibri"/>
          <w:sz w:val="24"/>
          <w:szCs w:val="24"/>
        </w:rPr>
      </w:pPr>
    </w:p>
    <w:p w14:paraId="501A7F18" w14:textId="29E3049A" w:rsidR="008F4CF5" w:rsidRPr="002D5FB7" w:rsidRDefault="00090C70" w:rsidP="00396D72">
      <w:pPr>
        <w:spacing w:before="200" w:after="200" w:line="240" w:lineRule="auto"/>
        <w:ind w:right="426" w:firstLine="708"/>
        <w:jc w:val="both"/>
        <w:rPr>
          <w:rFonts w:cs="Calibri"/>
          <w:sz w:val="24"/>
          <w:szCs w:val="24"/>
        </w:rPr>
      </w:pPr>
      <w:r w:rsidRPr="002D5FB7">
        <w:rPr>
          <w:rFonts w:cs="Calibri"/>
          <w:sz w:val="24"/>
          <w:szCs w:val="24"/>
        </w:rPr>
        <w:t>Pelo que r</w:t>
      </w:r>
      <w:r w:rsidR="00673F32" w:rsidRPr="002D5FB7">
        <w:rPr>
          <w:rFonts w:cs="Calibri"/>
          <w:sz w:val="24"/>
          <w:szCs w:val="24"/>
        </w:rPr>
        <w:t xml:space="preserve">equer seja negado </w:t>
      </w:r>
      <w:r w:rsidRPr="002D5FB7">
        <w:rPr>
          <w:rFonts w:cs="Calibri"/>
          <w:sz w:val="24"/>
          <w:szCs w:val="24"/>
        </w:rPr>
        <w:t xml:space="preserve">provimento ao recurso interposto, haja vista </w:t>
      </w:r>
      <w:r w:rsidR="002D5FB7" w:rsidRPr="002D5FB7">
        <w:rPr>
          <w:rFonts w:cs="Calibri"/>
          <w:sz w:val="24"/>
          <w:szCs w:val="24"/>
        </w:rPr>
        <w:t>o impertinente e ilegal pedido</w:t>
      </w:r>
      <w:r w:rsidRPr="002D5FB7">
        <w:rPr>
          <w:rFonts w:cs="Calibri"/>
          <w:sz w:val="24"/>
          <w:szCs w:val="24"/>
        </w:rPr>
        <w:t xml:space="preserve"> a título de danos morais</w:t>
      </w:r>
      <w:r w:rsidR="00673F32" w:rsidRPr="002D5FB7">
        <w:rPr>
          <w:rFonts w:cs="Calibri"/>
          <w:sz w:val="24"/>
          <w:szCs w:val="24"/>
        </w:rPr>
        <w:t>.</w:t>
      </w:r>
    </w:p>
    <w:p w14:paraId="26FF2D3A" w14:textId="60614855" w:rsidR="004C7639" w:rsidRPr="002D5FB7" w:rsidRDefault="004C7639" w:rsidP="00396D72">
      <w:pPr>
        <w:spacing w:before="200" w:after="200" w:line="240" w:lineRule="auto"/>
        <w:ind w:right="426" w:firstLine="708"/>
        <w:jc w:val="both"/>
        <w:rPr>
          <w:rFonts w:cs="Calibri"/>
          <w:sz w:val="24"/>
          <w:szCs w:val="24"/>
        </w:rPr>
      </w:pPr>
    </w:p>
    <w:p w14:paraId="0F20BDBF" w14:textId="77777777" w:rsidR="004C7639" w:rsidRPr="002D5FB7" w:rsidRDefault="004C7639" w:rsidP="00396D72">
      <w:pPr>
        <w:spacing w:before="200" w:after="200" w:line="240" w:lineRule="auto"/>
        <w:ind w:right="426" w:firstLine="708"/>
        <w:jc w:val="both"/>
        <w:rPr>
          <w:rFonts w:cs="Calibri"/>
          <w:sz w:val="24"/>
          <w:szCs w:val="24"/>
        </w:rPr>
      </w:pPr>
    </w:p>
    <w:p w14:paraId="2967B07C" w14:textId="2D4F23BB" w:rsidR="005941C5" w:rsidRPr="002D5FB7" w:rsidRDefault="005941C5" w:rsidP="00396D72">
      <w:pPr>
        <w:spacing w:before="200" w:after="200" w:line="240" w:lineRule="auto"/>
        <w:ind w:right="426"/>
        <w:jc w:val="center"/>
        <w:rPr>
          <w:rFonts w:cs="Calibri"/>
          <w:sz w:val="24"/>
          <w:szCs w:val="24"/>
        </w:rPr>
      </w:pPr>
      <w:r w:rsidRPr="002D5FB7">
        <w:rPr>
          <w:rFonts w:cs="Calibri"/>
          <w:sz w:val="24"/>
          <w:szCs w:val="24"/>
        </w:rPr>
        <w:t>Nestes Termos,</w:t>
      </w:r>
      <w:r w:rsidRPr="002D5FB7">
        <w:rPr>
          <w:rFonts w:cs="Calibri"/>
          <w:sz w:val="24"/>
          <w:szCs w:val="24"/>
        </w:rPr>
        <w:br/>
        <w:t> Pede Deferimento,</w:t>
      </w:r>
    </w:p>
    <w:p w14:paraId="4BA3427B" w14:textId="32493A08" w:rsidR="008B00C4" w:rsidRPr="002D5FB7" w:rsidRDefault="005941C5" w:rsidP="00396D72">
      <w:pPr>
        <w:spacing w:before="200" w:after="200" w:line="240" w:lineRule="auto"/>
        <w:ind w:right="426"/>
        <w:jc w:val="center"/>
        <w:rPr>
          <w:rFonts w:cs="Calibri"/>
          <w:sz w:val="24"/>
          <w:szCs w:val="24"/>
        </w:rPr>
      </w:pPr>
      <w:r w:rsidRPr="002D5FB7">
        <w:rPr>
          <w:rFonts w:cs="Calibri"/>
          <w:sz w:val="24"/>
          <w:szCs w:val="24"/>
        </w:rPr>
        <w:br/>
      </w:r>
      <w:r w:rsidR="003F2F46">
        <w:rPr>
          <w:rFonts w:cs="Calibri"/>
          <w:sz w:val="24"/>
          <w:szCs w:val="24"/>
        </w:rPr>
        <w:t>PORTO ALEGRE</w:t>
      </w:r>
      <w:r w:rsidRPr="002D5FB7">
        <w:rPr>
          <w:rFonts w:cs="Calibri"/>
          <w:sz w:val="24"/>
          <w:szCs w:val="24"/>
        </w:rPr>
        <w:t xml:space="preserve">, </w:t>
      </w:r>
      <w:r w:rsidR="003F2F46">
        <w:rPr>
          <w:rFonts w:cs="Calibri"/>
          <w:sz w:val="24"/>
          <w:szCs w:val="24"/>
        </w:rPr>
        <w:t>06</w:t>
      </w:r>
      <w:r w:rsidR="004C7639" w:rsidRPr="002D5FB7">
        <w:rPr>
          <w:rFonts w:cs="Calibri"/>
          <w:sz w:val="24"/>
          <w:szCs w:val="24"/>
        </w:rPr>
        <w:t xml:space="preserve"> </w:t>
      </w:r>
      <w:r w:rsidRPr="002D5FB7">
        <w:rPr>
          <w:rFonts w:cs="Calibri"/>
          <w:sz w:val="24"/>
          <w:szCs w:val="24"/>
        </w:rPr>
        <w:t xml:space="preserve">de </w:t>
      </w:r>
      <w:proofErr w:type="gramStart"/>
      <w:r w:rsidR="003F2F46">
        <w:rPr>
          <w:rFonts w:cs="Calibri"/>
          <w:sz w:val="24"/>
          <w:szCs w:val="24"/>
        </w:rPr>
        <w:t>Dez</w:t>
      </w:r>
      <w:r w:rsidR="00B83EBB">
        <w:rPr>
          <w:rFonts w:cs="Calibri"/>
          <w:sz w:val="24"/>
          <w:szCs w:val="24"/>
        </w:rPr>
        <w:t>embro</w:t>
      </w:r>
      <w:proofErr w:type="gramEnd"/>
      <w:r w:rsidRPr="002D5FB7">
        <w:rPr>
          <w:rFonts w:cs="Calibri"/>
          <w:sz w:val="24"/>
          <w:szCs w:val="24"/>
        </w:rPr>
        <w:t xml:space="preserve"> de 2023.</w:t>
      </w:r>
    </w:p>
    <w:p w14:paraId="342050CA" w14:textId="5A94E7FB" w:rsidR="00862622" w:rsidRPr="002D5FB7" w:rsidRDefault="00862622" w:rsidP="00862622">
      <w:pPr>
        <w:pStyle w:val="Corpodetexto"/>
        <w:jc w:val="center"/>
        <w:rPr>
          <w:rFonts w:ascii="Calibri" w:eastAsiaTheme="minorEastAsia" w:hAnsi="Calibri" w:cs="Calibri"/>
          <w:lang w:val="en-US" w:eastAsia="ja-JP" w:bidi="ar-SA"/>
        </w:rPr>
      </w:pPr>
      <w:r w:rsidRPr="002D5FB7">
        <w:rPr>
          <w:rFonts w:ascii="Calibri" w:eastAsiaTheme="minorEastAsia" w:hAnsi="Calibri" w:cs="Calibri"/>
          <w:lang w:val="en-US" w:eastAsia="ja-JP" w:bidi="ar-SA"/>
        </w:rPr>
        <w:br/>
        <w:t>JOÃO BARBOSA</w:t>
      </w:r>
      <w:r w:rsidRPr="002D5FB7">
        <w:rPr>
          <w:rFonts w:ascii="Calibri" w:eastAsiaTheme="minorEastAsia" w:hAnsi="Calibri" w:cs="Calibri"/>
          <w:lang w:val="en-US" w:eastAsia="ja-JP" w:bidi="ar-SA"/>
        </w:rPr>
        <w:br/>
        <w:t>OAB/RS 90657-A</w:t>
      </w:r>
    </w:p>
    <w:p w14:paraId="3D8239AA" w14:textId="56C8142C" w:rsidR="004C7639" w:rsidRPr="002D5FB7" w:rsidRDefault="004C7639" w:rsidP="00862622">
      <w:pPr>
        <w:spacing w:before="200" w:after="200" w:line="240" w:lineRule="auto"/>
        <w:ind w:right="426"/>
        <w:jc w:val="center"/>
        <w:rPr>
          <w:rFonts w:cs="Calibri"/>
          <w:sz w:val="24"/>
          <w:szCs w:val="24"/>
        </w:rPr>
      </w:pPr>
    </w:p>
    <w:p w14:paraId="7F0F1A67" w14:textId="0174D4E3" w:rsidR="004C7639" w:rsidRPr="002D5FB7" w:rsidRDefault="004C7639" w:rsidP="00396D72">
      <w:pPr>
        <w:spacing w:before="200" w:after="200" w:line="240" w:lineRule="auto"/>
        <w:ind w:right="426"/>
        <w:jc w:val="center"/>
        <w:rPr>
          <w:rFonts w:cs="Calibri"/>
          <w:sz w:val="24"/>
          <w:szCs w:val="24"/>
        </w:rPr>
      </w:pPr>
      <w:bookmarkStart w:id="0" w:name="_GoBack"/>
      <w:bookmarkEnd w:id="0"/>
    </w:p>
    <w:p w14:paraId="11A381AC" w14:textId="56B07B39" w:rsidR="004C7639" w:rsidRPr="002D5FB7" w:rsidRDefault="004C7639" w:rsidP="00862622">
      <w:pPr>
        <w:pStyle w:val="Ttulo2"/>
        <w:ind w:right="426"/>
        <w:jc w:val="left"/>
        <w:rPr>
          <w:rFonts w:ascii="Calibri" w:hAnsi="Calibri" w:cs="Calibri"/>
        </w:rPr>
      </w:pPr>
      <w:r w:rsidRPr="002D5FB7">
        <w:rPr>
          <w:rFonts w:ascii="Calibri" w:hAnsi="Calibri" w:cs="Calibri"/>
        </w:rPr>
        <w:t xml:space="preserve">EGRÉGIA TURMA </w:t>
      </w:r>
      <w:r w:rsidR="0004661C" w:rsidRPr="002D5FB7">
        <w:rPr>
          <w:rFonts w:ascii="Calibri" w:hAnsi="Calibri" w:cs="Calibri"/>
        </w:rPr>
        <w:t>RECURSAL DA SEÇÃO JUDICIÁRIA DO RIO GRANDE DO SUL</w:t>
      </w:r>
      <w:r w:rsidRPr="002D5FB7">
        <w:rPr>
          <w:rFonts w:ascii="Calibri" w:hAnsi="Calibri" w:cs="Calibri"/>
        </w:rPr>
        <w:t>,</w:t>
      </w:r>
    </w:p>
    <w:p w14:paraId="6B17A095" w14:textId="0233C675" w:rsidR="004C7639" w:rsidRPr="002D5FB7" w:rsidRDefault="004C7639" w:rsidP="00396D72">
      <w:pPr>
        <w:pStyle w:val="Corpodetexto"/>
        <w:ind w:right="426" w:firstLine="1417"/>
        <w:rPr>
          <w:rFonts w:ascii="Calibri" w:hAnsi="Calibri" w:cs="Calibri"/>
        </w:rPr>
      </w:pPr>
    </w:p>
    <w:p w14:paraId="32BCA84A" w14:textId="642C18BA" w:rsidR="0004661C" w:rsidRPr="002D5FB7" w:rsidRDefault="0004661C" w:rsidP="00396D72">
      <w:pPr>
        <w:pStyle w:val="PargrafodaLista"/>
        <w:tabs>
          <w:tab w:val="left" w:pos="709"/>
        </w:tabs>
        <w:spacing w:line="320" w:lineRule="exact"/>
        <w:ind w:left="0" w:right="426"/>
        <w:jc w:val="center"/>
        <w:rPr>
          <w:rFonts w:ascii="Calibri" w:hAnsi="Calibri" w:cs="Calibri"/>
          <w:b/>
          <w:bCs/>
          <w:smallCaps/>
        </w:rPr>
      </w:pPr>
      <w:proofErr w:type="spellStart"/>
      <w:r w:rsidRPr="002D5FB7">
        <w:rPr>
          <w:rFonts w:ascii="Calibri" w:hAnsi="Calibri" w:cs="Calibri"/>
          <w:b/>
          <w:bCs/>
          <w:smallCaps/>
        </w:rPr>
        <w:t>Contrarrazões</w:t>
      </w:r>
      <w:proofErr w:type="spellEnd"/>
      <w:r w:rsidRPr="002D5FB7">
        <w:rPr>
          <w:rFonts w:ascii="Calibri" w:hAnsi="Calibri" w:cs="Calibri"/>
          <w:b/>
          <w:bCs/>
          <w:smallCaps/>
        </w:rPr>
        <w:t xml:space="preserve"> da </w:t>
      </w:r>
      <w:proofErr w:type="spellStart"/>
      <w:r w:rsidRPr="002D5FB7">
        <w:rPr>
          <w:rFonts w:ascii="Calibri" w:hAnsi="Calibri" w:cs="Calibri"/>
          <w:b/>
          <w:bCs/>
          <w:smallCaps/>
        </w:rPr>
        <w:t>Recorrida</w:t>
      </w:r>
      <w:proofErr w:type="spellEnd"/>
    </w:p>
    <w:p w14:paraId="0A90EACA" w14:textId="427AC0D0" w:rsidR="0004661C" w:rsidRPr="002D5FB7" w:rsidRDefault="0004661C" w:rsidP="00396D72">
      <w:pPr>
        <w:pStyle w:val="PargrafodaLista"/>
        <w:tabs>
          <w:tab w:val="left" w:pos="709"/>
        </w:tabs>
        <w:spacing w:line="320" w:lineRule="exact"/>
        <w:ind w:left="0" w:right="426"/>
        <w:jc w:val="center"/>
        <w:rPr>
          <w:rFonts w:ascii="Calibri" w:hAnsi="Calibri" w:cs="Calibri"/>
          <w:b/>
          <w:bCs/>
          <w:smallCaps/>
        </w:rPr>
      </w:pPr>
      <w:proofErr w:type="spellStart"/>
      <w:r w:rsidRPr="002D5FB7">
        <w:rPr>
          <w:rFonts w:ascii="Calibri" w:hAnsi="Calibri" w:cs="Calibri"/>
          <w:b/>
          <w:bCs/>
          <w:smallCaps/>
          <w:u w:val="single"/>
        </w:rPr>
        <w:t>Caixa</w:t>
      </w:r>
      <w:proofErr w:type="spellEnd"/>
      <w:r w:rsidRPr="002D5FB7">
        <w:rPr>
          <w:rFonts w:ascii="Calibri" w:hAnsi="Calibri" w:cs="Calibri"/>
          <w:b/>
          <w:bCs/>
          <w:smallCaps/>
          <w:u w:val="single"/>
        </w:rPr>
        <w:t xml:space="preserve"> </w:t>
      </w:r>
      <w:proofErr w:type="spellStart"/>
      <w:r w:rsidRPr="002D5FB7">
        <w:rPr>
          <w:rFonts w:ascii="Calibri" w:hAnsi="Calibri" w:cs="Calibri"/>
          <w:b/>
          <w:bCs/>
          <w:smallCaps/>
          <w:u w:val="single"/>
        </w:rPr>
        <w:t>Econômica</w:t>
      </w:r>
      <w:proofErr w:type="spellEnd"/>
      <w:r w:rsidRPr="002D5FB7">
        <w:rPr>
          <w:rFonts w:ascii="Calibri" w:hAnsi="Calibri" w:cs="Calibri"/>
          <w:b/>
          <w:bCs/>
          <w:smallCaps/>
          <w:u w:val="single"/>
        </w:rPr>
        <w:t xml:space="preserve"> Federal</w:t>
      </w:r>
    </w:p>
    <w:p w14:paraId="04785251" w14:textId="77777777" w:rsidR="004C7639" w:rsidRPr="002D5FB7" w:rsidRDefault="004C7639" w:rsidP="00396D72">
      <w:pPr>
        <w:pStyle w:val="Ttulo2"/>
        <w:ind w:right="426"/>
        <w:jc w:val="left"/>
        <w:rPr>
          <w:rFonts w:ascii="Calibri" w:hAnsi="Calibri" w:cs="Calibri"/>
        </w:rPr>
      </w:pPr>
      <w:r w:rsidRPr="002D5FB7">
        <w:rPr>
          <w:rFonts w:ascii="Calibri" w:hAnsi="Calibri" w:cs="Calibri"/>
        </w:rPr>
        <w:t>DA SÍNTESE DA DEMANDA</w:t>
      </w:r>
    </w:p>
    <w:p w14:paraId="100C0D6E" w14:textId="00453EB8" w:rsidR="0004661C" w:rsidRPr="002D5FB7" w:rsidRDefault="003E11A0" w:rsidP="00396D72">
      <w:pPr>
        <w:pStyle w:val="PargrafodaLista"/>
        <w:tabs>
          <w:tab w:val="left" w:pos="709"/>
        </w:tabs>
        <w:spacing w:line="320" w:lineRule="exact"/>
        <w:ind w:left="0" w:right="426"/>
        <w:jc w:val="both"/>
        <w:rPr>
          <w:rFonts w:ascii="Calibri" w:hAnsi="Calibri" w:cs="Calibri"/>
        </w:rPr>
      </w:pPr>
      <w:r w:rsidRPr="002D5FB7">
        <w:rPr>
          <w:rFonts w:ascii="Calibri" w:hAnsi="Calibri" w:cs="Calibri"/>
          <w:bCs/>
          <w:lang w:val="pt-BR"/>
        </w:rPr>
        <w:tab/>
      </w:r>
      <w:r w:rsidR="0004661C" w:rsidRPr="002D5FB7">
        <w:rPr>
          <w:rFonts w:ascii="Calibri" w:hAnsi="Calibri" w:cs="Calibri"/>
          <w:bCs/>
          <w:lang w:val="pt-BR"/>
        </w:rPr>
        <w:t xml:space="preserve">Resumidamente, trata-se de ação de </w:t>
      </w:r>
      <w:r w:rsidR="003F2F46" w:rsidRPr="003F2F46">
        <w:rPr>
          <w:rFonts w:ascii="Calibri" w:hAnsi="Calibri" w:cs="Calibri"/>
          <w:bCs/>
          <w:lang w:val="pt-BR"/>
        </w:rPr>
        <w:t>ação de cobrança de despesas condominiais</w:t>
      </w:r>
      <w:r w:rsidR="003973E1">
        <w:rPr>
          <w:rFonts w:ascii="Calibri" w:hAnsi="Calibri" w:cs="Calibri"/>
          <w:bCs/>
          <w:lang w:val="pt-BR"/>
        </w:rPr>
        <w:t xml:space="preserve"> distribuídos </w:t>
      </w:r>
      <w:r w:rsidR="003F2F46">
        <w:rPr>
          <w:rFonts w:ascii="Calibri" w:hAnsi="Calibri" w:cs="Calibri"/>
          <w:bCs/>
          <w:lang w:val="pt-BR"/>
        </w:rPr>
        <w:t>erroneamente e com o julgamento em primeira instância</w:t>
      </w:r>
      <w:r w:rsidR="00E81E3A">
        <w:rPr>
          <w:rFonts w:ascii="Calibri" w:hAnsi="Calibri" w:cs="Calibri"/>
          <w:bCs/>
          <w:lang w:val="pt-BR"/>
        </w:rPr>
        <w:t xml:space="preserve"> com parcial procedência ao pedido do autor conforme infra:</w:t>
      </w:r>
    </w:p>
    <w:p w14:paraId="2FF0F5DB" w14:textId="77777777" w:rsidR="0004661C" w:rsidRPr="002D5FB7" w:rsidRDefault="0004661C" w:rsidP="00396D72">
      <w:pPr>
        <w:pStyle w:val="PargrafodaLista"/>
        <w:ind w:right="426"/>
        <w:rPr>
          <w:rFonts w:ascii="Calibri" w:hAnsi="Calibri" w:cs="Calibri"/>
          <w:bCs/>
          <w:lang w:val="pt-BR"/>
        </w:rPr>
      </w:pPr>
    </w:p>
    <w:p w14:paraId="20BBFF25" w14:textId="3C9FA47A" w:rsidR="0004661C" w:rsidRPr="00D4797D" w:rsidRDefault="00B83EBB" w:rsidP="00E81E3A">
      <w:pPr>
        <w:ind w:left="2268" w:right="426"/>
        <w:jc w:val="both"/>
        <w:rPr>
          <w:rFonts w:cs="Calibri"/>
          <w:b/>
          <w:i/>
          <w:iCs/>
          <w:sz w:val="24"/>
          <w:szCs w:val="24"/>
        </w:rPr>
      </w:pPr>
      <w:r>
        <w:rPr>
          <w:rFonts w:cs="Calibri"/>
          <w:b/>
          <w:i/>
          <w:iCs/>
          <w:sz w:val="24"/>
          <w:szCs w:val="24"/>
        </w:rPr>
        <w:t>“</w:t>
      </w:r>
      <w:r w:rsidR="00E81E3A" w:rsidRPr="00E81E3A">
        <w:rPr>
          <w:b/>
        </w:rPr>
        <w:t>Isto posto rejeito as preliminares suscitadas e, no mérito, julgo parcialmente procedentes os pedidos deduzidos na petição inicial, nos termos do art. 487, I, do Código de Processo Civil, para condenar a Caixa Econômica Federal ao pagamento das taxas de condomínio inadimplidas desde a data 30/11/2022, incluindo-se, ainda, eventuais parcelas vencidas e não pagas no curso deste processo até o seu trânsito em julgado. Sobre os valores deverá incidir correção monetária pelo IGP-M (evento 1, OUT8, fl. 38), juros de mora de 1% ao mês a contar do inadimplemento e multa moratória de 2% sobre o montante (art. 1.336, § 1º, do CC/02). Demanda isenta de custas e honorários advocatícios em primeira instância, com base no artigo 55 da Lei 9.099/95 c/</w:t>
      </w:r>
      <w:proofErr w:type="gramStart"/>
      <w:r w:rsidR="00E81E3A" w:rsidRPr="00E81E3A">
        <w:rPr>
          <w:b/>
        </w:rPr>
        <w:t>c</w:t>
      </w:r>
      <w:proofErr w:type="gramEnd"/>
      <w:r w:rsidR="00E81E3A" w:rsidRPr="00E81E3A">
        <w:rPr>
          <w:b/>
        </w:rPr>
        <w:t xml:space="preserve"> o artigo 1° da Lei 10.259/01. Sentença publicada e registrada eletronicamente. Intimem-se. </w:t>
      </w:r>
      <w:proofErr w:type="gramStart"/>
      <w:r w:rsidR="00E81E3A" w:rsidRPr="00E81E3A">
        <w:rPr>
          <w:b/>
        </w:rPr>
        <w:t>Interposto(</w:t>
      </w:r>
      <w:proofErr w:type="gramEnd"/>
      <w:r w:rsidR="00E81E3A" w:rsidRPr="00E81E3A">
        <w:rPr>
          <w:b/>
        </w:rPr>
        <w:t xml:space="preserve">s) o(s) recurso(s), intime-se a parte contrária para apresentar contrarrazões e, na sequência, remetam-se os autos à Turma Recursal. Transitada em julgado, certifique-se e dê-se início ao cumprimento do </w:t>
      </w:r>
      <w:proofErr w:type="gramStart"/>
      <w:r w:rsidR="00E81E3A" w:rsidRPr="00E81E3A">
        <w:rPr>
          <w:b/>
        </w:rPr>
        <w:t>julgado.</w:t>
      </w:r>
      <w:r w:rsidR="0004661C" w:rsidRPr="00D4797D">
        <w:rPr>
          <w:rFonts w:cs="Calibri"/>
          <w:b/>
          <w:i/>
          <w:iCs/>
          <w:sz w:val="24"/>
          <w:szCs w:val="24"/>
        </w:rPr>
        <w:t>”</w:t>
      </w:r>
      <w:proofErr w:type="gramEnd"/>
      <w:r w:rsidR="0004661C" w:rsidRPr="00D4797D">
        <w:rPr>
          <w:rFonts w:cs="Calibri"/>
          <w:b/>
          <w:i/>
          <w:iCs/>
          <w:sz w:val="24"/>
          <w:szCs w:val="24"/>
        </w:rPr>
        <w:t xml:space="preserve"> </w:t>
      </w:r>
    </w:p>
    <w:p w14:paraId="6737EB95" w14:textId="77777777" w:rsidR="0004661C" w:rsidRPr="002D5FB7" w:rsidRDefault="0004661C" w:rsidP="00396D72">
      <w:pPr>
        <w:pStyle w:val="PargrafodaLista"/>
        <w:ind w:right="426"/>
        <w:jc w:val="both"/>
        <w:rPr>
          <w:rFonts w:ascii="Calibri" w:hAnsi="Calibri" w:cs="Calibri"/>
        </w:rPr>
      </w:pPr>
    </w:p>
    <w:p w14:paraId="5E3EF71C" w14:textId="41B1E8B8" w:rsidR="0020614F" w:rsidRDefault="0020614F" w:rsidP="0020614F">
      <w:pPr>
        <w:pStyle w:val="PargrafodaLista"/>
        <w:tabs>
          <w:tab w:val="left" w:pos="709"/>
        </w:tabs>
        <w:spacing w:line="320" w:lineRule="exact"/>
        <w:ind w:left="0"/>
        <w:jc w:val="both"/>
        <w:rPr>
          <w:rFonts w:ascii="Calibri" w:hAnsi="Calibri" w:cs="Calibri"/>
        </w:rPr>
      </w:pPr>
      <w:r>
        <w:rPr>
          <w:rFonts w:ascii="Calibri" w:hAnsi="Calibri" w:cs="Calibri"/>
        </w:rPr>
        <w:tab/>
      </w:r>
    </w:p>
    <w:p w14:paraId="56F7BD3C" w14:textId="5ACE2C13" w:rsidR="001833C2" w:rsidRDefault="0020614F" w:rsidP="0020614F">
      <w:pPr>
        <w:pStyle w:val="PargrafodaLista"/>
        <w:tabs>
          <w:tab w:val="left" w:pos="709"/>
        </w:tabs>
        <w:spacing w:line="320" w:lineRule="exact"/>
        <w:ind w:left="0"/>
        <w:jc w:val="both"/>
        <w:rPr>
          <w:rFonts w:ascii="Calibri" w:hAnsi="Calibri" w:cs="Calibri"/>
          <w:lang w:val="pt-BR"/>
        </w:rPr>
      </w:pPr>
      <w:r>
        <w:rPr>
          <w:rFonts w:ascii="Calibri" w:hAnsi="Calibri" w:cs="Calibri"/>
        </w:rPr>
        <w:tab/>
      </w:r>
      <w:r w:rsidR="00181DE2" w:rsidRPr="0020614F">
        <w:rPr>
          <w:rFonts w:ascii="Calibri" w:hAnsi="Calibri" w:cs="Calibri"/>
          <w:lang w:val="pt-BR"/>
        </w:rPr>
        <w:t xml:space="preserve">Inconformada, a parte Autora, </w:t>
      </w:r>
      <w:proofErr w:type="gramStart"/>
      <w:r w:rsidR="00181DE2" w:rsidRPr="0020614F">
        <w:rPr>
          <w:rFonts w:ascii="Calibri" w:hAnsi="Calibri" w:cs="Calibri"/>
          <w:lang w:val="pt-BR"/>
        </w:rPr>
        <w:t xml:space="preserve">ora </w:t>
      </w:r>
      <w:r w:rsidR="00886EC8">
        <w:rPr>
          <w:rFonts w:ascii="Calibri" w:hAnsi="Calibri" w:cs="Calibri"/>
          <w:lang w:val="pt-BR"/>
        </w:rPr>
        <w:t>Recorrente</w:t>
      </w:r>
      <w:proofErr w:type="gramEnd"/>
      <w:r w:rsidR="00181DE2" w:rsidRPr="0020614F">
        <w:rPr>
          <w:rFonts w:ascii="Calibri" w:hAnsi="Calibri" w:cs="Calibri"/>
          <w:lang w:val="pt-BR"/>
        </w:rPr>
        <w:t>, interpôs recurso, pleiteando a reforma da r. sentença a fim de que fosse fixada à indenização por dano</w:t>
      </w:r>
      <w:r>
        <w:rPr>
          <w:rFonts w:ascii="Calibri" w:hAnsi="Calibri" w:cs="Calibri"/>
          <w:lang w:val="pt-BR"/>
        </w:rPr>
        <w:t xml:space="preserve"> material e</w:t>
      </w:r>
      <w:r w:rsidR="00181DE2" w:rsidRPr="0020614F">
        <w:rPr>
          <w:rFonts w:ascii="Calibri" w:hAnsi="Calibri" w:cs="Calibri"/>
          <w:lang w:val="pt-BR"/>
        </w:rPr>
        <w:t xml:space="preserve"> moral. Ocorre que o magistrado, satisfatoriamente, motiva sua decisão, inclusive lastreado por majoritária jurisprudência</w:t>
      </w:r>
    </w:p>
    <w:p w14:paraId="6657AD5A" w14:textId="77777777" w:rsidR="001833C2" w:rsidRDefault="001833C2" w:rsidP="0020614F">
      <w:pPr>
        <w:pStyle w:val="PargrafodaLista"/>
        <w:tabs>
          <w:tab w:val="left" w:pos="709"/>
        </w:tabs>
        <w:spacing w:line="320" w:lineRule="exact"/>
        <w:ind w:left="0"/>
        <w:jc w:val="both"/>
        <w:rPr>
          <w:rFonts w:ascii="Calibri" w:hAnsi="Calibri" w:cs="Calibri"/>
          <w:lang w:val="pt-BR"/>
        </w:rPr>
      </w:pPr>
    </w:p>
    <w:p w14:paraId="33975707" w14:textId="3D7C2C94" w:rsidR="0004661C" w:rsidRPr="0020614F" w:rsidRDefault="003E11A0" w:rsidP="00396D72">
      <w:pPr>
        <w:pStyle w:val="PargrafodaLista"/>
        <w:tabs>
          <w:tab w:val="left" w:pos="709"/>
        </w:tabs>
        <w:spacing w:line="320" w:lineRule="exact"/>
        <w:ind w:left="0" w:right="426"/>
        <w:jc w:val="both"/>
        <w:rPr>
          <w:rFonts w:ascii="Calibri" w:hAnsi="Calibri" w:cs="Calibri"/>
          <w:lang w:val="pt-BR"/>
        </w:rPr>
      </w:pPr>
      <w:r w:rsidRPr="0020614F">
        <w:rPr>
          <w:rFonts w:ascii="Calibri" w:hAnsi="Calibri" w:cs="Calibri"/>
          <w:lang w:val="pt-BR"/>
        </w:rPr>
        <w:tab/>
      </w:r>
      <w:r w:rsidR="0004661C" w:rsidRPr="0020614F">
        <w:rPr>
          <w:rFonts w:ascii="Calibri" w:hAnsi="Calibri" w:cs="Calibri"/>
          <w:lang w:val="pt-BR"/>
        </w:rPr>
        <w:t>Assim, certo é que o recurso autoral urge ser de plano desprovido, como restará a seguir sobejamente demonstrado e provado.</w:t>
      </w:r>
    </w:p>
    <w:p w14:paraId="4BED220A" w14:textId="77777777" w:rsidR="0004661C" w:rsidRDefault="0004661C" w:rsidP="00396D72">
      <w:pPr>
        <w:pStyle w:val="PargrafodaLista"/>
        <w:tabs>
          <w:tab w:val="left" w:pos="709"/>
        </w:tabs>
        <w:spacing w:line="320" w:lineRule="exact"/>
        <w:ind w:left="0" w:right="426"/>
        <w:jc w:val="both"/>
        <w:rPr>
          <w:rFonts w:ascii="Calibri" w:hAnsi="Calibri" w:cs="Calibri"/>
          <w:lang w:val="pt-BR"/>
        </w:rPr>
      </w:pPr>
    </w:p>
    <w:p w14:paraId="1CE9B99E" w14:textId="77777777" w:rsidR="00D4797D" w:rsidRDefault="00D4797D" w:rsidP="00396D72">
      <w:pPr>
        <w:pStyle w:val="PargrafodaLista"/>
        <w:tabs>
          <w:tab w:val="left" w:pos="709"/>
        </w:tabs>
        <w:spacing w:line="320" w:lineRule="exact"/>
        <w:ind w:left="0" w:right="426"/>
        <w:jc w:val="both"/>
        <w:rPr>
          <w:rFonts w:ascii="Calibri" w:hAnsi="Calibri" w:cs="Calibri"/>
          <w:lang w:val="pt-BR"/>
        </w:rPr>
      </w:pPr>
    </w:p>
    <w:p w14:paraId="103A76C5" w14:textId="74D954EB" w:rsidR="004255B4" w:rsidRPr="004255B4" w:rsidRDefault="004255B4" w:rsidP="004255B4">
      <w:pPr>
        <w:pStyle w:val="PargrafodaLista"/>
        <w:tabs>
          <w:tab w:val="left" w:pos="709"/>
        </w:tabs>
        <w:spacing w:line="320" w:lineRule="exact"/>
        <w:ind w:right="426"/>
        <w:jc w:val="center"/>
        <w:rPr>
          <w:rFonts w:cs="Calibri"/>
          <w:b/>
          <w:bCs/>
        </w:rPr>
      </w:pPr>
      <w:r w:rsidRPr="004255B4">
        <w:rPr>
          <w:rFonts w:cs="Calibri"/>
          <w:b/>
          <w:bCs/>
        </w:rPr>
        <w:t>PRELIMINARMENTE</w:t>
      </w:r>
      <w:r w:rsidRPr="004255B4">
        <w:rPr>
          <w:rFonts w:cs="Calibri"/>
          <w:b/>
          <w:bCs/>
        </w:rPr>
        <w:br/>
        <w:t>DA ILEGITIMIDADE PASSIVA. DA NÃO TITULARIDADE DA CEF SOBRE O IMÓVEL</w:t>
      </w:r>
    </w:p>
    <w:p w14:paraId="50B6667D" w14:textId="77777777" w:rsidR="004255B4" w:rsidRDefault="004255B4" w:rsidP="00396D72">
      <w:pPr>
        <w:pStyle w:val="PargrafodaLista"/>
        <w:tabs>
          <w:tab w:val="left" w:pos="709"/>
        </w:tabs>
        <w:spacing w:line="320" w:lineRule="exact"/>
        <w:ind w:left="0" w:right="426"/>
        <w:jc w:val="both"/>
        <w:rPr>
          <w:rFonts w:ascii="Calibri" w:hAnsi="Calibri" w:cs="Calibri"/>
          <w:lang w:val="pt-BR"/>
        </w:rPr>
      </w:pPr>
    </w:p>
    <w:p w14:paraId="284BE690" w14:textId="77777777" w:rsidR="00D4797D" w:rsidRDefault="00D4797D" w:rsidP="00396D72">
      <w:pPr>
        <w:pStyle w:val="PargrafodaLista"/>
        <w:tabs>
          <w:tab w:val="left" w:pos="709"/>
        </w:tabs>
        <w:spacing w:line="320" w:lineRule="exact"/>
        <w:ind w:left="0" w:right="426"/>
        <w:jc w:val="both"/>
        <w:rPr>
          <w:rFonts w:ascii="Calibri" w:hAnsi="Calibri" w:cs="Calibri"/>
          <w:lang w:val="pt-BR"/>
        </w:rPr>
      </w:pPr>
    </w:p>
    <w:p w14:paraId="4E764EBE" w14:textId="474D1F95"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C60C97">
        <w:rPr>
          <w:rFonts w:asciiTheme="minorHAnsi" w:hAnsiTheme="minorHAnsi" w:cstheme="minorHAnsi"/>
          <w:sz w:val="24"/>
          <w:szCs w:val="24"/>
        </w:rPr>
        <w:lastRenderedPageBreak/>
        <w:t xml:space="preserve">Trata-se de </w:t>
      </w:r>
      <w:r>
        <w:rPr>
          <w:rFonts w:asciiTheme="minorHAnsi" w:hAnsiTheme="minorHAnsi" w:cstheme="minorHAnsi"/>
          <w:sz w:val="24"/>
          <w:szCs w:val="24"/>
        </w:rPr>
        <w:t>impertinente execução de título extrajudicial</w:t>
      </w:r>
      <w:r w:rsidRPr="00C60C97">
        <w:rPr>
          <w:rFonts w:asciiTheme="minorHAnsi" w:hAnsiTheme="minorHAnsi" w:cstheme="minorHAnsi"/>
          <w:sz w:val="24"/>
          <w:szCs w:val="24"/>
        </w:rPr>
        <w:t xml:space="preserve"> que visa a cobrança de </w:t>
      </w:r>
      <w:r>
        <w:rPr>
          <w:rFonts w:asciiTheme="minorHAnsi" w:hAnsiTheme="minorHAnsi" w:cstheme="minorHAnsi"/>
          <w:sz w:val="24"/>
          <w:szCs w:val="24"/>
        </w:rPr>
        <w:t>taxas condominiais</w:t>
      </w:r>
      <w:r w:rsidRPr="00C60C97">
        <w:rPr>
          <w:rFonts w:asciiTheme="minorHAnsi" w:hAnsiTheme="minorHAnsi" w:cstheme="minorHAnsi"/>
          <w:sz w:val="24"/>
          <w:szCs w:val="24"/>
        </w:rPr>
        <w:t xml:space="preserve"> referente ao</w:t>
      </w:r>
      <w:r>
        <w:rPr>
          <w:rFonts w:asciiTheme="minorHAnsi" w:hAnsiTheme="minorHAnsi" w:cstheme="minorHAnsi"/>
          <w:sz w:val="24"/>
          <w:szCs w:val="24"/>
        </w:rPr>
        <w:t xml:space="preserve"> período de</w:t>
      </w:r>
      <w:r w:rsidRPr="00C60C97">
        <w:rPr>
          <w:rFonts w:asciiTheme="minorHAnsi" w:hAnsiTheme="minorHAnsi" w:cstheme="minorHAnsi"/>
          <w:sz w:val="24"/>
          <w:szCs w:val="24"/>
        </w:rPr>
        <w:t xml:space="preserve"> </w:t>
      </w:r>
      <w:r>
        <w:rPr>
          <w:rFonts w:asciiTheme="minorHAnsi" w:hAnsiTheme="minorHAnsi" w:cstheme="minorHAnsi"/>
          <w:sz w:val="24"/>
          <w:szCs w:val="24"/>
          <w:lang w:val="pt-BR"/>
        </w:rPr>
        <w:t>Fevereiro</w:t>
      </w:r>
      <w:r w:rsidRPr="007E1115">
        <w:rPr>
          <w:rFonts w:asciiTheme="minorHAnsi" w:hAnsiTheme="minorHAnsi" w:cstheme="minorHAnsi"/>
          <w:sz w:val="24"/>
          <w:szCs w:val="24"/>
          <w:lang w:val="pt-BR"/>
        </w:rPr>
        <w:t>/20</w:t>
      </w:r>
      <w:r>
        <w:rPr>
          <w:rFonts w:asciiTheme="minorHAnsi" w:hAnsiTheme="minorHAnsi" w:cstheme="minorHAnsi"/>
          <w:sz w:val="24"/>
          <w:szCs w:val="24"/>
          <w:lang w:val="pt-BR"/>
        </w:rPr>
        <w:t>16</w:t>
      </w:r>
      <w:r w:rsidRPr="007E1115">
        <w:rPr>
          <w:rFonts w:asciiTheme="minorHAnsi" w:hAnsiTheme="minorHAnsi" w:cstheme="minorHAnsi"/>
          <w:sz w:val="24"/>
          <w:szCs w:val="24"/>
          <w:lang w:val="pt-BR"/>
        </w:rPr>
        <w:t xml:space="preserve"> até </w:t>
      </w:r>
      <w:r>
        <w:rPr>
          <w:rFonts w:asciiTheme="minorHAnsi" w:hAnsiTheme="minorHAnsi" w:cstheme="minorHAnsi"/>
          <w:sz w:val="24"/>
          <w:szCs w:val="24"/>
          <w:lang w:val="pt-BR"/>
        </w:rPr>
        <w:t>Abril</w:t>
      </w:r>
      <w:r w:rsidRPr="007E1115">
        <w:rPr>
          <w:rFonts w:asciiTheme="minorHAnsi" w:hAnsiTheme="minorHAnsi" w:cstheme="minorHAnsi"/>
          <w:sz w:val="24"/>
          <w:szCs w:val="24"/>
          <w:lang w:val="pt-BR"/>
        </w:rPr>
        <w:t>/202</w:t>
      </w:r>
      <w:r>
        <w:rPr>
          <w:rFonts w:asciiTheme="minorHAnsi" w:hAnsiTheme="minorHAnsi" w:cstheme="minorHAnsi"/>
          <w:sz w:val="24"/>
          <w:szCs w:val="24"/>
          <w:lang w:val="pt-BR"/>
        </w:rPr>
        <w:t xml:space="preserve">2 </w:t>
      </w:r>
      <w:r w:rsidRPr="00C60C97">
        <w:rPr>
          <w:rFonts w:asciiTheme="minorHAnsi" w:hAnsiTheme="minorHAnsi" w:cstheme="minorHAnsi"/>
          <w:sz w:val="24"/>
          <w:szCs w:val="24"/>
        </w:rPr>
        <w:t xml:space="preserve">sobre o imóvel </w:t>
      </w:r>
      <w:r>
        <w:rPr>
          <w:rFonts w:asciiTheme="minorHAnsi" w:hAnsiTheme="minorHAnsi" w:cstheme="minorHAnsi"/>
          <w:sz w:val="24"/>
          <w:szCs w:val="24"/>
        </w:rPr>
        <w:t>já apresentado no bojo dos autos, inclusive nesta defesa</w:t>
      </w:r>
      <w:r w:rsidRPr="00C60C97">
        <w:rPr>
          <w:rFonts w:asciiTheme="minorHAnsi" w:hAnsiTheme="minorHAnsi" w:cstheme="minorHAnsi"/>
          <w:sz w:val="24"/>
          <w:szCs w:val="24"/>
        </w:rPr>
        <w:t>.</w:t>
      </w:r>
    </w:p>
    <w:p w14:paraId="2BB7BFCB"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43459062"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5EC0DDEF" w14:textId="23BB60EB"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C60C97">
        <w:rPr>
          <w:rFonts w:asciiTheme="minorHAnsi" w:hAnsiTheme="minorHAnsi" w:cstheme="minorHAnsi"/>
          <w:sz w:val="24"/>
          <w:szCs w:val="24"/>
        </w:rPr>
        <w:t xml:space="preserve">No entanto, </w:t>
      </w:r>
      <w:r>
        <w:rPr>
          <w:rFonts w:asciiTheme="minorHAnsi" w:hAnsiTheme="minorHAnsi" w:cstheme="minorHAnsi"/>
          <w:sz w:val="24"/>
          <w:szCs w:val="24"/>
        </w:rPr>
        <w:t>a CAIXA</w:t>
      </w:r>
      <w:r w:rsidRPr="00C60C97">
        <w:rPr>
          <w:rFonts w:asciiTheme="minorHAnsi" w:hAnsiTheme="minorHAnsi" w:cstheme="minorHAnsi"/>
          <w:sz w:val="24"/>
          <w:szCs w:val="24"/>
        </w:rPr>
        <w:t xml:space="preserve"> não encontrou, até o presente momento, comprovação de que este imóvel seja de sua propriedade.</w:t>
      </w:r>
      <w:r>
        <w:rPr>
          <w:rFonts w:asciiTheme="minorHAnsi" w:hAnsiTheme="minorHAnsi" w:cstheme="minorHAnsi"/>
          <w:sz w:val="24"/>
          <w:szCs w:val="24"/>
        </w:rPr>
        <w:t xml:space="preserve"> Muito pelo contrário, já restou exaustivamente comprovado e ratificado pela sentença que a CAIXA NÃO É PROPRIETÁRIA DO IMÓVEL EM DÉBITO COM O CONDOMÍNIO.</w:t>
      </w:r>
    </w:p>
    <w:p w14:paraId="40E4027B"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1F206D19"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15B11638"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42908A93"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119AA950"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61CC5A7D" w14:textId="5E4EC8C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r w:rsidRPr="004255B4">
        <w:rPr>
          <w:rFonts w:asciiTheme="minorHAnsi" w:hAnsiTheme="minorHAnsi" w:cstheme="minorHAnsi"/>
          <w:sz w:val="24"/>
          <w:szCs w:val="24"/>
          <w:lang w:val="pt-BR"/>
        </w:rPr>
        <w:t xml:space="preserve">O imóvel foi destinado </w:t>
      </w:r>
      <w:r w:rsidR="00886EC8">
        <w:rPr>
          <w:rFonts w:asciiTheme="minorHAnsi" w:hAnsiTheme="minorHAnsi" w:cstheme="minorHAnsi"/>
          <w:sz w:val="24"/>
          <w:szCs w:val="24"/>
          <w:lang w:val="pt-BR"/>
        </w:rPr>
        <w:t>à</w:t>
      </w:r>
      <w:r w:rsidRPr="004255B4">
        <w:rPr>
          <w:rFonts w:asciiTheme="minorHAnsi" w:hAnsiTheme="minorHAnsi" w:cstheme="minorHAnsi"/>
          <w:sz w:val="24"/>
          <w:szCs w:val="24"/>
          <w:lang w:val="pt-BR"/>
        </w:rPr>
        <w:t xml:space="preserve"> beneficiári</w:t>
      </w:r>
      <w:r w:rsidR="00886EC8">
        <w:rPr>
          <w:rFonts w:asciiTheme="minorHAnsi" w:hAnsiTheme="minorHAnsi" w:cstheme="minorHAnsi"/>
          <w:sz w:val="24"/>
          <w:szCs w:val="24"/>
          <w:lang w:val="pt-BR"/>
        </w:rPr>
        <w:t>a</w:t>
      </w:r>
      <w:r w:rsidRPr="004255B4">
        <w:rPr>
          <w:rFonts w:asciiTheme="minorHAnsi" w:hAnsiTheme="minorHAnsi" w:cstheme="minorHAnsi"/>
          <w:sz w:val="24"/>
          <w:szCs w:val="24"/>
          <w:lang w:val="pt-BR"/>
        </w:rPr>
        <w:t xml:space="preserve">, que assinou com o FUNDO DE ARRENDAMENTO RESIDENCIAL o Contrato de compra e venda com garantia de alienação fiduciária do imóvel nº 872011760677-7 e está na posse do imóvel. </w:t>
      </w:r>
    </w:p>
    <w:p w14:paraId="74DCC50C"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p>
    <w:p w14:paraId="597B871D"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t xml:space="preserve">Neste contexto, são OBRIGAÇÕES DOS BENEFICIÁRIOS: </w:t>
      </w:r>
    </w:p>
    <w:p w14:paraId="2C4BB397"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Pagar regularmente o encargo mensal; </w:t>
      </w:r>
    </w:p>
    <w:p w14:paraId="711F6DF5"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Ocupar o imóvel após a formalização do instrumento contratual; </w:t>
      </w:r>
    </w:p>
    <w:p w14:paraId="325A76B2"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Residir no imóvel; </w:t>
      </w:r>
    </w:p>
    <w:p w14:paraId="1FF76E22"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6FF26923"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57D89765"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2825CC96"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31792690" w14:textId="2B34EAF0"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Manter o imóvel em condições de habitabilidade, segurança e conservação, fazendo às suas expensas as obras e reparos necessários à preservação da garantia contratada; </w:t>
      </w:r>
    </w:p>
    <w:p w14:paraId="35F5D743"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30A4C6A6"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Assumir todas as despesas incidentes sobre o imóvel, a partir da contratação – IPTU, energia elétrica, água, taxas de condomínio, limpeza urbana e outras, arbitradas pelo Poder Público; </w:t>
      </w:r>
    </w:p>
    <w:p w14:paraId="51E4D5C6" w14:textId="32C0FC88"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Observar a proibição de efetuar </w:t>
      </w:r>
      <w:proofErr w:type="spellStart"/>
      <w:r w:rsidRPr="00886EC8">
        <w:rPr>
          <w:rFonts w:asciiTheme="minorHAnsi" w:hAnsiTheme="minorHAnsi" w:cstheme="minorHAnsi"/>
          <w:b/>
          <w:bCs/>
          <w:i/>
          <w:iCs/>
          <w:sz w:val="24"/>
          <w:szCs w:val="24"/>
          <w:lang w:val="pt-BR"/>
        </w:rPr>
        <w:t>remembramento</w:t>
      </w:r>
      <w:proofErr w:type="spellEnd"/>
      <w:r w:rsidRPr="00886EC8">
        <w:rPr>
          <w:rFonts w:asciiTheme="minorHAnsi" w:hAnsiTheme="minorHAnsi" w:cstheme="minorHAnsi"/>
          <w:b/>
          <w:bCs/>
          <w:i/>
          <w:iCs/>
          <w:sz w:val="24"/>
          <w:szCs w:val="24"/>
          <w:lang w:val="pt-BR"/>
        </w:rPr>
        <w:t xml:space="preserve"> dos lotes objeto do Programa; </w:t>
      </w:r>
    </w:p>
    <w:p w14:paraId="1F1C3137"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lastRenderedPageBreak/>
        <w:sym w:font="Symbol" w:char="F0B7"/>
      </w:r>
      <w:r w:rsidRPr="00886EC8">
        <w:rPr>
          <w:rFonts w:asciiTheme="minorHAnsi" w:hAnsiTheme="minorHAnsi" w:cstheme="minorHAnsi"/>
          <w:b/>
          <w:bCs/>
          <w:i/>
          <w:iCs/>
          <w:sz w:val="24"/>
          <w:szCs w:val="24"/>
          <w:lang w:val="pt-BR"/>
        </w:rPr>
        <w:t xml:space="preserve"> Contatar a CAIXA, via </w:t>
      </w:r>
      <w:proofErr w:type="spellStart"/>
      <w:r w:rsidRPr="00886EC8">
        <w:rPr>
          <w:rFonts w:asciiTheme="minorHAnsi" w:hAnsiTheme="minorHAnsi" w:cstheme="minorHAnsi"/>
          <w:b/>
          <w:bCs/>
          <w:i/>
          <w:iCs/>
          <w:sz w:val="24"/>
          <w:szCs w:val="24"/>
          <w:lang w:val="pt-BR"/>
        </w:rPr>
        <w:t>Telesserviços</w:t>
      </w:r>
      <w:proofErr w:type="spellEnd"/>
      <w:r w:rsidRPr="00886EC8">
        <w:rPr>
          <w:rFonts w:asciiTheme="minorHAnsi" w:hAnsiTheme="minorHAnsi" w:cstheme="minorHAnsi"/>
          <w:b/>
          <w:bCs/>
          <w:i/>
          <w:iCs/>
          <w:sz w:val="24"/>
          <w:szCs w:val="24"/>
          <w:lang w:val="pt-BR"/>
        </w:rPr>
        <w:t xml:space="preserve">, no caso de constatação da existência de vícios de construção no imóvel e/ou no empreendimento; </w:t>
      </w:r>
    </w:p>
    <w:p w14:paraId="5D5E972E"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sym w:font="Symbol" w:char="F0B7"/>
      </w:r>
      <w:r w:rsidRPr="00886EC8">
        <w:rPr>
          <w:rFonts w:asciiTheme="minorHAnsi" w:hAnsiTheme="minorHAnsi" w:cstheme="minorHAnsi"/>
          <w:b/>
          <w:bCs/>
          <w:i/>
          <w:iCs/>
          <w:sz w:val="24"/>
          <w:szCs w:val="24"/>
          <w:lang w:val="pt-BR"/>
        </w:rPr>
        <w:t xml:space="preserve"> Observar as demais cláusulas do contrato</w:t>
      </w:r>
    </w:p>
    <w:p w14:paraId="0EF38F31"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2BF7A2A3"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t xml:space="preserve">Nos termos da cláusula vigésima quarta do contrato assinado com a beneficiária: </w:t>
      </w:r>
    </w:p>
    <w:p w14:paraId="3282D1EB"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p>
    <w:p w14:paraId="4A1FAEC5" w14:textId="77777777" w:rsidR="004255B4" w:rsidRPr="00886EC8" w:rsidRDefault="004255B4" w:rsidP="00886EC8">
      <w:pPr>
        <w:pStyle w:val="CaixaPadro"/>
        <w:numPr>
          <w:ilvl w:val="0"/>
          <w:numId w:val="0"/>
        </w:numPr>
        <w:tabs>
          <w:tab w:val="left" w:pos="2835"/>
        </w:tabs>
        <w:ind w:left="2268"/>
        <w:rPr>
          <w:rFonts w:asciiTheme="minorHAnsi" w:hAnsiTheme="minorHAnsi" w:cstheme="minorHAnsi"/>
          <w:b/>
          <w:bCs/>
          <w:i/>
          <w:iCs/>
          <w:sz w:val="24"/>
          <w:szCs w:val="24"/>
          <w:lang w:val="pt-BR"/>
        </w:rPr>
      </w:pPr>
      <w:r w:rsidRPr="00886EC8">
        <w:rPr>
          <w:rFonts w:asciiTheme="minorHAnsi" w:hAnsiTheme="minorHAnsi" w:cstheme="minorHAnsi"/>
          <w:b/>
          <w:bCs/>
          <w:i/>
          <w:iCs/>
          <w:sz w:val="24"/>
          <w:szCs w:val="24"/>
          <w:lang w:val="pt-BR"/>
        </w:rPr>
        <w:t xml:space="preserve">24 – ENCARGOS FISCAIS – Os impostos, taxas ou outros tributos incidentes sobre o imóvel deverão ser pagos em dia, </w:t>
      </w:r>
      <w:proofErr w:type="gramStart"/>
      <w:r w:rsidRPr="00886EC8">
        <w:rPr>
          <w:rFonts w:asciiTheme="minorHAnsi" w:hAnsiTheme="minorHAnsi" w:cstheme="minorHAnsi"/>
          <w:b/>
          <w:bCs/>
          <w:i/>
          <w:iCs/>
          <w:sz w:val="24"/>
          <w:szCs w:val="24"/>
          <w:lang w:val="pt-BR"/>
        </w:rPr>
        <w:t>pelo(</w:t>
      </w:r>
      <w:proofErr w:type="gramEnd"/>
      <w:r w:rsidRPr="00886EC8">
        <w:rPr>
          <w:rFonts w:asciiTheme="minorHAnsi" w:hAnsiTheme="minorHAnsi" w:cstheme="minorHAnsi"/>
          <w:b/>
          <w:bCs/>
          <w:i/>
          <w:iCs/>
          <w:sz w:val="24"/>
          <w:szCs w:val="24"/>
          <w:lang w:val="pt-BR"/>
        </w:rPr>
        <w:t xml:space="preserve">s) DEVEDOR(ES), podendo a CAIXA/FAR exigir a sua comprovação </w:t>
      </w:r>
    </w:p>
    <w:p w14:paraId="2F26A378"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p>
    <w:p w14:paraId="3EAB765B"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38D9C55F"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5CADA45C"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5F1B3275" w14:textId="1575A0FC"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r w:rsidRPr="004255B4">
        <w:rPr>
          <w:rFonts w:asciiTheme="minorHAnsi" w:hAnsiTheme="minorHAnsi" w:cstheme="minorHAnsi"/>
          <w:sz w:val="24"/>
          <w:szCs w:val="24"/>
          <w:lang w:val="pt-BR"/>
        </w:rPr>
        <w:t>Assim, a obrigação de realizar o pagamento das taxas condominiais é exclusiva da beneficiária do programa, que assinou</w:t>
      </w:r>
      <w:r>
        <w:rPr>
          <w:rFonts w:asciiTheme="minorHAnsi" w:hAnsiTheme="minorHAnsi" w:cstheme="minorHAnsi"/>
          <w:sz w:val="24"/>
          <w:szCs w:val="24"/>
          <w:lang w:val="pt-BR"/>
        </w:rPr>
        <w:t xml:space="preserve"> </w:t>
      </w:r>
      <w:r w:rsidRPr="004255B4">
        <w:rPr>
          <w:rFonts w:asciiTheme="minorHAnsi" w:hAnsiTheme="minorHAnsi" w:cstheme="minorHAnsi"/>
          <w:sz w:val="24"/>
          <w:szCs w:val="24"/>
          <w:lang w:val="pt-BR"/>
        </w:rPr>
        <w:t>com o FUNDO DE ARRENDAMENTO RESIDENCIAL o Contrato de compra e venda com garantia de alienação fiduciária do imóvel nº 872011760677-7 e está na posse do imóvel.</w:t>
      </w:r>
    </w:p>
    <w:p w14:paraId="4698E726"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p>
    <w:p w14:paraId="5A6A31A1" w14:textId="48F2141E"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r w:rsidRPr="004255B4">
        <w:rPr>
          <w:rFonts w:asciiTheme="minorHAnsi" w:hAnsiTheme="minorHAnsi" w:cstheme="minorHAnsi"/>
          <w:sz w:val="24"/>
          <w:szCs w:val="24"/>
          <w:lang w:val="pt-BR"/>
        </w:rPr>
        <w:t>Consoante precedente de decisão em recente incidente de uniformização n. 5016428-78.2014.4.04.7001/PR, a TURMA REGIONAL DE UNIFORMIZAÇÃO manteve a decisão da 1º Turma Recursal Do Paraná a qual reconheceu a ilegitimidade passiva da CAIXA, fundamentado que o critério para verificar o dever de pagamento da taxa mensal de condomínio não é a propriedade, mas sim a posse direta do bem usufruído e a inequívoca ciência da administração do condomínio.</w:t>
      </w:r>
    </w:p>
    <w:p w14:paraId="7D265DD5"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p>
    <w:p w14:paraId="1F521C1D" w14:textId="7DE025D6"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r w:rsidRPr="004255B4">
        <w:rPr>
          <w:rFonts w:asciiTheme="minorHAnsi" w:hAnsiTheme="minorHAnsi" w:cstheme="minorHAnsi"/>
          <w:sz w:val="24"/>
          <w:szCs w:val="24"/>
          <w:lang w:val="pt-BR"/>
        </w:rPr>
        <w:t xml:space="preserve">O TRF4 reconheceu a ilegitimidade passiva da CAIXA nos contratos com alienação fiduciária ao FAR - agravo de instrumento 5006200- 90.2017.4.04.0000/SC -, no dia 16.08.2017, da relatoria do Des. Eduardo Gomes </w:t>
      </w:r>
      <w:proofErr w:type="spellStart"/>
      <w:r w:rsidRPr="004255B4">
        <w:rPr>
          <w:rFonts w:asciiTheme="minorHAnsi" w:hAnsiTheme="minorHAnsi" w:cstheme="minorHAnsi"/>
          <w:sz w:val="24"/>
          <w:szCs w:val="24"/>
          <w:lang w:val="pt-BR"/>
        </w:rPr>
        <w:t>Philippsen</w:t>
      </w:r>
      <w:proofErr w:type="spellEnd"/>
      <w:r w:rsidRPr="004255B4">
        <w:rPr>
          <w:rFonts w:asciiTheme="minorHAnsi" w:hAnsiTheme="minorHAnsi" w:cstheme="minorHAnsi"/>
          <w:sz w:val="24"/>
          <w:szCs w:val="24"/>
          <w:lang w:val="pt-BR"/>
        </w:rPr>
        <w:t>:</w:t>
      </w:r>
    </w:p>
    <w:p w14:paraId="2C0203F6"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p>
    <w:p w14:paraId="249AF31C" w14:textId="7AB13901" w:rsidR="004255B4" w:rsidRPr="004255B4" w:rsidRDefault="004255B4" w:rsidP="004255B4">
      <w:pPr>
        <w:pStyle w:val="CaixaPadro"/>
        <w:numPr>
          <w:ilvl w:val="0"/>
          <w:numId w:val="0"/>
        </w:numPr>
        <w:tabs>
          <w:tab w:val="left" w:pos="2835"/>
        </w:tabs>
        <w:ind w:left="2268"/>
        <w:rPr>
          <w:rFonts w:asciiTheme="minorHAnsi" w:hAnsiTheme="minorHAnsi" w:cstheme="minorHAnsi"/>
          <w:i/>
          <w:iCs/>
          <w:sz w:val="24"/>
          <w:szCs w:val="24"/>
          <w:lang w:val="pt-BR"/>
        </w:rPr>
      </w:pPr>
      <w:r w:rsidRPr="004255B4">
        <w:rPr>
          <w:rFonts w:asciiTheme="minorHAnsi" w:hAnsiTheme="minorHAnsi" w:cstheme="minorHAnsi"/>
          <w:i/>
          <w:iCs/>
          <w:sz w:val="24"/>
          <w:szCs w:val="24"/>
          <w:lang w:val="pt-BR"/>
        </w:rPr>
        <w:t xml:space="preserve">“AGRAVO DE INSTRUMENTO. EXECUÇÃO DE TÍTULO EXTRAJUDICIAL. COTAS CONDOMINIAIS. CREDOR FIDUCIÁRIO. CONTRATO DE COMPRA E VENDA DO IMÓVEL COM CONCOMITANTE ALIENAÇÃO FIDUCIÁRIA AO FUNDO DE ARRENDAMENTO RESIDENCIAL - FAR. ILEGITIMIDADE PASSIVA DA CEF. 1. Tratando-se de imóvel vendido com concomitante alienação fiduciária ao Fundo de Arrendamento Residencial - FAR - e não de contrato de arrendamento </w:t>
      </w:r>
      <w:r w:rsidRPr="004255B4">
        <w:rPr>
          <w:rFonts w:asciiTheme="minorHAnsi" w:hAnsiTheme="minorHAnsi" w:cstheme="minorHAnsi"/>
          <w:i/>
          <w:iCs/>
          <w:sz w:val="24"/>
          <w:szCs w:val="24"/>
          <w:lang w:val="pt-BR"/>
        </w:rPr>
        <w:lastRenderedPageBreak/>
        <w:t>residencial previsto no Capítulo II da Lei nº 10.188/2001 -, o FAR/ Caixa Econômica Federal não detém a propriedade plena do imóvel. 2. Caso de constituição de uma propriedade fiduciária que, por sua natureza e definição legal, é constituída com o escopo da garantia (art. 1361 do CC), sujeitando-se ao mesmo conjunto de normas que regem os direitos reais de garantia (penhor, hipoteca e anticrese), não se equiparando, para quaisquer efeitos, à propriedade plena (art. 1367 do CC). 3. Ausente a consolidação da propriedade plena em nome do FAR/CEF, essa não possui qualquer responsabilidade com as despesas de condomínio.</w:t>
      </w:r>
    </w:p>
    <w:p w14:paraId="64A60868" w14:textId="20D182F9" w:rsidR="004255B4" w:rsidRPr="004255B4" w:rsidRDefault="004255B4" w:rsidP="004255B4">
      <w:pPr>
        <w:pStyle w:val="CaixaPadro"/>
        <w:numPr>
          <w:ilvl w:val="0"/>
          <w:numId w:val="0"/>
        </w:numPr>
        <w:tabs>
          <w:tab w:val="left" w:pos="2835"/>
        </w:tabs>
        <w:ind w:left="2268"/>
        <w:rPr>
          <w:rFonts w:asciiTheme="minorHAnsi" w:hAnsiTheme="minorHAnsi" w:cstheme="minorHAnsi"/>
          <w:i/>
          <w:iCs/>
          <w:sz w:val="24"/>
          <w:szCs w:val="24"/>
          <w:lang w:val="pt-BR"/>
        </w:rPr>
      </w:pPr>
      <w:r w:rsidRPr="004255B4">
        <w:rPr>
          <w:rFonts w:asciiTheme="minorHAnsi" w:hAnsiTheme="minorHAnsi" w:cstheme="minorHAnsi"/>
          <w:i/>
          <w:iCs/>
          <w:sz w:val="24"/>
          <w:szCs w:val="24"/>
          <w:lang w:val="pt-BR"/>
        </w:rPr>
        <w:t xml:space="preserve">4. É do devedor </w:t>
      </w:r>
      <w:proofErr w:type="spellStart"/>
      <w:r w:rsidRPr="004255B4">
        <w:rPr>
          <w:rFonts w:asciiTheme="minorHAnsi" w:hAnsiTheme="minorHAnsi" w:cstheme="minorHAnsi"/>
          <w:i/>
          <w:iCs/>
          <w:sz w:val="24"/>
          <w:szCs w:val="24"/>
          <w:lang w:val="pt-BR"/>
        </w:rPr>
        <w:t>fiduciante</w:t>
      </w:r>
      <w:proofErr w:type="spellEnd"/>
      <w:r w:rsidRPr="004255B4">
        <w:rPr>
          <w:rFonts w:asciiTheme="minorHAnsi" w:hAnsiTheme="minorHAnsi" w:cstheme="minorHAnsi"/>
          <w:i/>
          <w:iCs/>
          <w:sz w:val="24"/>
          <w:szCs w:val="24"/>
          <w:lang w:val="pt-BR"/>
        </w:rPr>
        <w:t xml:space="preserve">, que mora no bem e detém o direito à propriedade futura, o dever de pagamento das cotas condominiais. 5. Agravo de instrumento </w:t>
      </w:r>
      <w:proofErr w:type="gramStart"/>
      <w:r w:rsidRPr="004255B4">
        <w:rPr>
          <w:rFonts w:asciiTheme="minorHAnsi" w:hAnsiTheme="minorHAnsi" w:cstheme="minorHAnsi"/>
          <w:i/>
          <w:iCs/>
          <w:sz w:val="24"/>
          <w:szCs w:val="24"/>
          <w:lang w:val="pt-BR"/>
        </w:rPr>
        <w:t>improvido.”</w:t>
      </w:r>
      <w:proofErr w:type="gramEnd"/>
    </w:p>
    <w:p w14:paraId="171883FE"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029E4436"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lang w:val="pt-BR"/>
        </w:rPr>
      </w:pPr>
    </w:p>
    <w:p w14:paraId="3B0F2F20"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3165C447"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lang w:val="pt-BR"/>
        </w:rPr>
      </w:pPr>
    </w:p>
    <w:p w14:paraId="280F0DF7" w14:textId="16074354"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4255B4">
        <w:rPr>
          <w:rFonts w:asciiTheme="minorHAnsi" w:hAnsiTheme="minorHAnsi" w:cstheme="minorHAnsi"/>
          <w:sz w:val="24"/>
          <w:szCs w:val="24"/>
          <w:lang w:val="pt-BR"/>
        </w:rPr>
        <w:t xml:space="preserve">Dessa forma, a Caixa/FAR é parte ilegítima para figurar no </w:t>
      </w:r>
      <w:r w:rsidR="00886EC8" w:rsidRPr="004255B4">
        <w:rPr>
          <w:rFonts w:asciiTheme="minorHAnsi" w:hAnsiTheme="minorHAnsi" w:cstheme="minorHAnsi"/>
          <w:sz w:val="24"/>
          <w:szCs w:val="24"/>
          <w:lang w:val="pt-BR"/>
        </w:rPr>
        <w:t>polo</w:t>
      </w:r>
      <w:r w:rsidRPr="004255B4">
        <w:rPr>
          <w:rFonts w:asciiTheme="minorHAnsi" w:hAnsiTheme="minorHAnsi" w:cstheme="minorHAnsi"/>
          <w:sz w:val="24"/>
          <w:szCs w:val="24"/>
          <w:lang w:val="pt-BR"/>
        </w:rPr>
        <w:t xml:space="preserve"> passivo da execução de título extrajudicial, tendo em vista não ser a possuidora direta do imóvel cujas despesas condominiais são objeto da ação, porque os autos tratam de contrato de alienação fiduciária ao Fundo de Arrendamento Residencial, sendo o devedor </w:t>
      </w:r>
      <w:proofErr w:type="spellStart"/>
      <w:r w:rsidRPr="004255B4">
        <w:rPr>
          <w:rFonts w:asciiTheme="minorHAnsi" w:hAnsiTheme="minorHAnsi" w:cstheme="minorHAnsi"/>
          <w:sz w:val="24"/>
          <w:szCs w:val="24"/>
          <w:lang w:val="pt-BR"/>
        </w:rPr>
        <w:t>fiduciante</w:t>
      </w:r>
      <w:proofErr w:type="spellEnd"/>
      <w:r w:rsidRPr="004255B4">
        <w:rPr>
          <w:rFonts w:asciiTheme="minorHAnsi" w:hAnsiTheme="minorHAnsi" w:cstheme="minorHAnsi"/>
          <w:sz w:val="24"/>
          <w:szCs w:val="24"/>
          <w:lang w:val="pt-BR"/>
        </w:rPr>
        <w:t xml:space="preserve"> beneficiário residente, contra quem, exclusivamente, deve voltar-se o condomínio.</w:t>
      </w:r>
    </w:p>
    <w:p w14:paraId="2C02106A" w14:textId="77777777" w:rsidR="00886EC8" w:rsidRDefault="00886EC8" w:rsidP="004255B4">
      <w:pPr>
        <w:pStyle w:val="CaixaPadro"/>
        <w:numPr>
          <w:ilvl w:val="0"/>
          <w:numId w:val="0"/>
        </w:numPr>
        <w:tabs>
          <w:tab w:val="left" w:pos="2835"/>
        </w:tabs>
        <w:ind w:firstLine="2835"/>
        <w:rPr>
          <w:rFonts w:asciiTheme="minorHAnsi" w:hAnsiTheme="minorHAnsi" w:cstheme="minorHAnsi"/>
          <w:sz w:val="24"/>
          <w:szCs w:val="24"/>
        </w:rPr>
      </w:pPr>
    </w:p>
    <w:p w14:paraId="64978509" w14:textId="0AFD21B0"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C60C97">
        <w:rPr>
          <w:rFonts w:asciiTheme="minorHAnsi" w:hAnsiTheme="minorHAnsi" w:cstheme="minorHAnsi"/>
          <w:sz w:val="24"/>
          <w:szCs w:val="24"/>
        </w:rPr>
        <w:t xml:space="preserve">Assim, não há nos autos nada que comprove qualquer relação desta empresa pública com o imóvel apontado, não sendo possível imputar à ora </w:t>
      </w:r>
      <w:r>
        <w:rPr>
          <w:rFonts w:asciiTheme="minorHAnsi" w:hAnsiTheme="minorHAnsi" w:cstheme="minorHAnsi"/>
          <w:sz w:val="24"/>
          <w:szCs w:val="24"/>
        </w:rPr>
        <w:t>ré</w:t>
      </w:r>
      <w:r w:rsidRPr="00C60C97">
        <w:rPr>
          <w:rFonts w:asciiTheme="minorHAnsi" w:hAnsiTheme="minorHAnsi" w:cstheme="minorHAnsi"/>
          <w:sz w:val="24"/>
          <w:szCs w:val="24"/>
        </w:rPr>
        <w:t xml:space="preserve"> a obrigação de recolhimento </w:t>
      </w:r>
      <w:r>
        <w:rPr>
          <w:rFonts w:asciiTheme="minorHAnsi" w:hAnsiTheme="minorHAnsi" w:cstheme="minorHAnsi"/>
          <w:sz w:val="24"/>
          <w:szCs w:val="24"/>
        </w:rPr>
        <w:t>das taxas condominiais</w:t>
      </w:r>
      <w:r w:rsidRPr="00C60C97">
        <w:rPr>
          <w:rFonts w:asciiTheme="minorHAnsi" w:hAnsiTheme="minorHAnsi" w:cstheme="minorHAnsi"/>
          <w:sz w:val="24"/>
          <w:szCs w:val="24"/>
        </w:rPr>
        <w:t xml:space="preserve"> incidentes sobre dito imóvel, vez que sequer há prova de propriedade.</w:t>
      </w:r>
    </w:p>
    <w:p w14:paraId="23D78EFA"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1F94C518"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C60C97">
        <w:rPr>
          <w:rFonts w:asciiTheme="minorHAnsi" w:hAnsiTheme="minorHAnsi" w:cstheme="minorHAnsi"/>
          <w:sz w:val="24"/>
          <w:szCs w:val="24"/>
        </w:rPr>
        <w:t xml:space="preserve">Portanto, até que seja provado ou localizado em seus sistemas internos, a CEF NÃO É PROPRIETÁRIA DO IMOVEL, e não se reveste da condição de sujeito passivo da obrigação </w:t>
      </w:r>
      <w:r>
        <w:rPr>
          <w:rFonts w:asciiTheme="minorHAnsi" w:hAnsiTheme="minorHAnsi" w:cstheme="minorHAnsi"/>
          <w:sz w:val="24"/>
          <w:szCs w:val="24"/>
        </w:rPr>
        <w:t>obrigação das taxas condomininais relativas ao imóvel</w:t>
      </w:r>
      <w:r w:rsidRPr="00C60C97">
        <w:rPr>
          <w:rFonts w:asciiTheme="minorHAnsi" w:hAnsiTheme="minorHAnsi" w:cstheme="minorHAnsi"/>
          <w:sz w:val="24"/>
          <w:szCs w:val="24"/>
        </w:rPr>
        <w:t xml:space="preserve">, devendo o processo ser extinto sem exame do mérito. </w:t>
      </w:r>
    </w:p>
    <w:p w14:paraId="2959ED02"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79E61D8C"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r>
        <w:rPr>
          <w:rFonts w:asciiTheme="minorHAnsi" w:hAnsiTheme="minorHAnsi" w:cstheme="minorHAnsi"/>
          <w:sz w:val="24"/>
          <w:szCs w:val="24"/>
        </w:rPr>
        <w:t>Reforçando e comprovando o que se alega, segue em anexo o contrato de alienação fiduciária, do qual destacamos pertinente trecho:</w:t>
      </w:r>
    </w:p>
    <w:p w14:paraId="0C086A11"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39D9B85C"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70828560" w14:textId="77777777" w:rsidR="004255B4" w:rsidRPr="00C60C97" w:rsidRDefault="004255B4" w:rsidP="004255B4">
      <w:pPr>
        <w:pStyle w:val="CaixaPadro"/>
        <w:numPr>
          <w:ilvl w:val="0"/>
          <w:numId w:val="0"/>
        </w:numPr>
        <w:tabs>
          <w:tab w:val="left" w:pos="2835"/>
        </w:tabs>
        <w:rPr>
          <w:rFonts w:asciiTheme="minorHAnsi" w:hAnsiTheme="minorHAnsi" w:cstheme="minorHAnsi"/>
          <w:sz w:val="24"/>
          <w:szCs w:val="24"/>
        </w:rPr>
      </w:pPr>
      <w:r>
        <w:rPr>
          <w:rFonts w:asciiTheme="minorHAnsi" w:hAnsiTheme="minorHAnsi" w:cstheme="minorHAnsi"/>
          <w:noProof/>
          <w:sz w:val="24"/>
          <w:szCs w:val="24"/>
          <w:lang w:val="pt-BR"/>
        </w:rPr>
        <w:drawing>
          <wp:inline distT="0" distB="0" distL="0" distR="0" wp14:anchorId="44FC772D" wp14:editId="2474DCB4">
            <wp:extent cx="6257925" cy="3714750"/>
            <wp:effectExtent l="0" t="0" r="9525" b="0"/>
            <wp:docPr id="1089786184" name="Imagem 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86184" name="Imagem 1" descr="Interface gráfica do usuário, Texto, Aplicativo, Email&#10;&#10;Descrição gerad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7925" cy="3714750"/>
                    </a:xfrm>
                    <a:prstGeom prst="rect">
                      <a:avLst/>
                    </a:prstGeom>
                    <a:noFill/>
                    <a:ln>
                      <a:noFill/>
                    </a:ln>
                  </pic:spPr>
                </pic:pic>
              </a:graphicData>
            </a:graphic>
          </wp:inline>
        </w:drawing>
      </w:r>
    </w:p>
    <w:p w14:paraId="5A43998D"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16C410A1"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7ABEA4DC" w14:textId="77777777" w:rsidR="004255B4" w:rsidRDefault="004255B4" w:rsidP="004255B4">
      <w:pPr>
        <w:pStyle w:val="CaixaPadro"/>
        <w:numPr>
          <w:ilvl w:val="0"/>
          <w:numId w:val="0"/>
        </w:numPr>
        <w:tabs>
          <w:tab w:val="left" w:pos="2835"/>
        </w:tabs>
        <w:ind w:firstLine="2835"/>
        <w:rPr>
          <w:rFonts w:asciiTheme="minorHAnsi" w:hAnsiTheme="minorHAnsi" w:cstheme="minorHAnsi"/>
          <w:b/>
          <w:bCs/>
          <w:sz w:val="24"/>
          <w:szCs w:val="24"/>
          <w:u w:val="single"/>
        </w:rPr>
      </w:pPr>
      <w:r w:rsidRPr="00652178">
        <w:rPr>
          <w:rFonts w:asciiTheme="minorHAnsi" w:hAnsiTheme="minorHAnsi" w:cstheme="minorHAnsi"/>
          <w:b/>
          <w:bCs/>
          <w:sz w:val="24"/>
          <w:szCs w:val="24"/>
          <w:u w:val="single"/>
        </w:rPr>
        <w:t>Há de se ressaltar que nos termos da Lei 9.514/97, art. 26, somente se consolidará a propriedade do credor fiduciário na hipótese de inadimplência do devedor fiduciário, o que não é o caso dos autos!</w:t>
      </w:r>
    </w:p>
    <w:p w14:paraId="21BC1A0B" w14:textId="77777777" w:rsidR="004255B4" w:rsidRDefault="004255B4" w:rsidP="004255B4">
      <w:pPr>
        <w:pStyle w:val="CaixaPadro"/>
        <w:numPr>
          <w:ilvl w:val="0"/>
          <w:numId w:val="0"/>
        </w:numPr>
        <w:tabs>
          <w:tab w:val="left" w:pos="2835"/>
        </w:tabs>
        <w:ind w:firstLine="2835"/>
        <w:rPr>
          <w:rFonts w:asciiTheme="minorHAnsi" w:hAnsiTheme="minorHAnsi" w:cstheme="minorHAnsi"/>
          <w:b/>
          <w:bCs/>
          <w:sz w:val="24"/>
          <w:szCs w:val="24"/>
          <w:u w:val="single"/>
        </w:rPr>
      </w:pPr>
    </w:p>
    <w:p w14:paraId="53060BC6" w14:textId="598739CB" w:rsidR="004255B4" w:rsidRDefault="004255B4" w:rsidP="004255B4">
      <w:pPr>
        <w:pStyle w:val="CaixaPadro"/>
        <w:numPr>
          <w:ilvl w:val="0"/>
          <w:numId w:val="0"/>
        </w:numPr>
        <w:tabs>
          <w:tab w:val="left" w:pos="2835"/>
        </w:tabs>
        <w:ind w:firstLine="2835"/>
        <w:rPr>
          <w:rFonts w:asciiTheme="minorHAnsi" w:hAnsiTheme="minorHAnsi" w:cstheme="minorHAnsi"/>
          <w:b/>
          <w:bCs/>
          <w:sz w:val="24"/>
          <w:szCs w:val="24"/>
          <w:u w:val="single"/>
          <w:lang w:val="pt-BR"/>
        </w:rPr>
      </w:pPr>
      <w:r w:rsidRPr="004255B4">
        <w:rPr>
          <w:rFonts w:asciiTheme="minorHAnsi" w:hAnsiTheme="minorHAnsi" w:cstheme="minorHAnsi"/>
          <w:b/>
          <w:bCs/>
          <w:sz w:val="24"/>
          <w:szCs w:val="24"/>
          <w:u w:val="single"/>
          <w:lang w:val="pt-BR"/>
        </w:rPr>
        <w:t>A 5ª Turma Recursal dos Juizados Especiais Federais, julgando o Recurso Cível 5010228-08.2017.4.04.7112 (14.03.2018) reconheceu a ilegitimidade da CAIXA e a responsabilidade exclusiva do mutuário, com base no entendimento jurisprudencial do STJ.</w:t>
      </w:r>
    </w:p>
    <w:p w14:paraId="7EC79659"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49DFD7AE" w14:textId="77777777" w:rsidR="004255B4" w:rsidRDefault="004255B4" w:rsidP="004255B4">
      <w:pPr>
        <w:pStyle w:val="CaixaPadro"/>
        <w:numPr>
          <w:ilvl w:val="0"/>
          <w:numId w:val="0"/>
        </w:numPr>
        <w:tabs>
          <w:tab w:val="left" w:pos="2835"/>
        </w:tabs>
        <w:ind w:firstLine="2835"/>
        <w:rPr>
          <w:rFonts w:asciiTheme="minorHAnsi" w:hAnsiTheme="minorHAnsi" w:cstheme="minorHAnsi"/>
          <w:sz w:val="24"/>
          <w:szCs w:val="24"/>
        </w:rPr>
      </w:pPr>
      <w:r>
        <w:rPr>
          <w:rFonts w:asciiTheme="minorHAnsi" w:hAnsiTheme="minorHAnsi" w:cstheme="minorHAnsi"/>
          <w:sz w:val="24"/>
          <w:szCs w:val="24"/>
        </w:rPr>
        <w:t>Prosseguimos indicando outras disposições contratuais que evidenciam não ser a CAIXA devedora da dívida reclamada em juízo, mormente por não ser a possuidora do imóvel, cuja propriedade está condicionada ao inadimplemento do devedor fiduciário, o que jamais ocorreu, senão vejamos:</w:t>
      </w:r>
    </w:p>
    <w:p w14:paraId="2B621816"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6D42D0B7"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r w:rsidRPr="00652178">
        <w:rPr>
          <w:rFonts w:asciiTheme="minorHAnsi" w:hAnsiTheme="minorHAnsi" w:cstheme="minorHAnsi"/>
          <w:noProof/>
          <w:sz w:val="24"/>
          <w:szCs w:val="24"/>
          <w:lang w:val="pt-BR"/>
        </w:rPr>
        <w:drawing>
          <wp:inline distT="0" distB="0" distL="0" distR="0" wp14:anchorId="3243B9B0" wp14:editId="48E960FD">
            <wp:extent cx="5953125" cy="552450"/>
            <wp:effectExtent l="0" t="0" r="9525" b="0"/>
            <wp:docPr id="8698042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04236" name=""/>
                    <pic:cNvPicPr/>
                  </pic:nvPicPr>
                  <pic:blipFill>
                    <a:blip r:embed="rId10"/>
                    <a:stretch>
                      <a:fillRect/>
                    </a:stretch>
                  </pic:blipFill>
                  <pic:spPr>
                    <a:xfrm>
                      <a:off x="0" y="0"/>
                      <a:ext cx="5953125" cy="552450"/>
                    </a:xfrm>
                    <a:prstGeom prst="rect">
                      <a:avLst/>
                    </a:prstGeom>
                  </pic:spPr>
                </pic:pic>
              </a:graphicData>
            </a:graphic>
          </wp:inline>
        </w:drawing>
      </w:r>
    </w:p>
    <w:p w14:paraId="374DFCAF"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1BEB34BA"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r>
        <w:rPr>
          <w:rFonts w:asciiTheme="minorHAnsi" w:hAnsiTheme="minorHAnsi" w:cstheme="minorHAnsi"/>
          <w:sz w:val="24"/>
          <w:szCs w:val="24"/>
        </w:rPr>
        <w:tab/>
      </w:r>
    </w:p>
    <w:p w14:paraId="5C68B0A0"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47310526" w14:textId="374CC431" w:rsidR="004255B4" w:rsidRDefault="004255B4" w:rsidP="004255B4">
      <w:pPr>
        <w:pStyle w:val="CaixaPadro"/>
        <w:numPr>
          <w:ilvl w:val="0"/>
          <w:numId w:val="0"/>
        </w:numPr>
        <w:tabs>
          <w:tab w:val="left" w:pos="2835"/>
        </w:tabs>
        <w:rPr>
          <w:rFonts w:asciiTheme="minorHAnsi" w:hAnsiTheme="minorHAnsi" w:cstheme="minorHAnsi"/>
          <w:sz w:val="24"/>
          <w:szCs w:val="24"/>
        </w:rPr>
      </w:pPr>
      <w:r>
        <w:rPr>
          <w:rFonts w:asciiTheme="minorHAnsi" w:hAnsiTheme="minorHAnsi" w:cstheme="minorHAnsi"/>
          <w:sz w:val="24"/>
          <w:szCs w:val="24"/>
        </w:rPr>
        <w:lastRenderedPageBreak/>
        <w:tab/>
        <w:t>No mesmo sentido temos a cláusula décima terceira:</w:t>
      </w:r>
    </w:p>
    <w:p w14:paraId="005652C7"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r w:rsidRPr="00652178">
        <w:rPr>
          <w:rFonts w:asciiTheme="minorHAnsi" w:hAnsiTheme="minorHAnsi" w:cstheme="minorHAnsi"/>
          <w:noProof/>
          <w:sz w:val="24"/>
          <w:szCs w:val="24"/>
          <w:lang w:val="pt-BR"/>
        </w:rPr>
        <w:drawing>
          <wp:inline distT="0" distB="0" distL="0" distR="0" wp14:anchorId="44DEA54A" wp14:editId="2C77E0D3">
            <wp:extent cx="6391275" cy="742950"/>
            <wp:effectExtent l="0" t="0" r="9525" b="0"/>
            <wp:docPr id="6058448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44858" name=""/>
                    <pic:cNvPicPr/>
                  </pic:nvPicPr>
                  <pic:blipFill>
                    <a:blip r:embed="rId11"/>
                    <a:stretch>
                      <a:fillRect/>
                    </a:stretch>
                  </pic:blipFill>
                  <pic:spPr>
                    <a:xfrm>
                      <a:off x="0" y="0"/>
                      <a:ext cx="6391275" cy="742950"/>
                    </a:xfrm>
                    <a:prstGeom prst="rect">
                      <a:avLst/>
                    </a:prstGeom>
                  </pic:spPr>
                </pic:pic>
              </a:graphicData>
            </a:graphic>
          </wp:inline>
        </w:drawing>
      </w:r>
    </w:p>
    <w:p w14:paraId="0AB23E64"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7310283E" w14:textId="77777777" w:rsidR="004255B4" w:rsidRDefault="004255B4" w:rsidP="004255B4">
      <w:pPr>
        <w:pStyle w:val="CaixaPadro"/>
        <w:numPr>
          <w:ilvl w:val="0"/>
          <w:numId w:val="0"/>
        </w:numPr>
        <w:tabs>
          <w:tab w:val="left" w:pos="2835"/>
        </w:tabs>
        <w:rPr>
          <w:rFonts w:asciiTheme="minorHAnsi" w:hAnsiTheme="minorHAnsi" w:cstheme="minorHAnsi"/>
          <w:sz w:val="24"/>
          <w:szCs w:val="24"/>
        </w:rPr>
      </w:pPr>
    </w:p>
    <w:p w14:paraId="4DE4B74B"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C60C97">
        <w:rPr>
          <w:rFonts w:asciiTheme="minorHAnsi" w:hAnsiTheme="minorHAnsi" w:cstheme="minorHAnsi"/>
          <w:sz w:val="24"/>
          <w:szCs w:val="24"/>
        </w:rPr>
        <w:t xml:space="preserve">Se houve algum equívoco, portanto, na identificação do </w:t>
      </w:r>
      <w:r>
        <w:rPr>
          <w:rFonts w:asciiTheme="minorHAnsi" w:hAnsiTheme="minorHAnsi" w:cstheme="minorHAnsi"/>
          <w:sz w:val="24"/>
          <w:szCs w:val="24"/>
        </w:rPr>
        <w:t>real devedor</w:t>
      </w:r>
      <w:r w:rsidRPr="00C60C97">
        <w:rPr>
          <w:rFonts w:asciiTheme="minorHAnsi" w:hAnsiTheme="minorHAnsi" w:cstheme="minorHAnsi"/>
          <w:sz w:val="24"/>
          <w:szCs w:val="24"/>
        </w:rPr>
        <w:t xml:space="preserve">, o erro só pode ter decorrido da </w:t>
      </w:r>
      <w:r>
        <w:rPr>
          <w:rFonts w:asciiTheme="minorHAnsi" w:hAnsiTheme="minorHAnsi" w:cstheme="minorHAnsi"/>
          <w:sz w:val="24"/>
          <w:szCs w:val="24"/>
        </w:rPr>
        <w:t>própria parte autora em deixar proceder de forma adequada à cobrança a quem de direito, a saber, o ARRENDATÁRIO</w:t>
      </w:r>
      <w:r w:rsidRPr="00C60C97">
        <w:rPr>
          <w:rFonts w:asciiTheme="minorHAnsi" w:hAnsiTheme="minorHAnsi" w:cstheme="minorHAnsi"/>
          <w:sz w:val="24"/>
          <w:szCs w:val="24"/>
        </w:rPr>
        <w:t>.</w:t>
      </w:r>
    </w:p>
    <w:p w14:paraId="5A588EA3"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p>
    <w:p w14:paraId="1264ED9E" w14:textId="77777777" w:rsidR="004255B4" w:rsidRPr="00C60C97" w:rsidRDefault="004255B4" w:rsidP="004255B4">
      <w:pPr>
        <w:pStyle w:val="CaixaPadro"/>
        <w:numPr>
          <w:ilvl w:val="0"/>
          <w:numId w:val="0"/>
        </w:numPr>
        <w:tabs>
          <w:tab w:val="left" w:pos="2835"/>
        </w:tabs>
        <w:ind w:firstLine="2835"/>
        <w:rPr>
          <w:rFonts w:asciiTheme="minorHAnsi" w:hAnsiTheme="minorHAnsi" w:cstheme="minorHAnsi"/>
          <w:sz w:val="24"/>
          <w:szCs w:val="24"/>
        </w:rPr>
      </w:pPr>
      <w:r w:rsidRPr="00C60C97">
        <w:rPr>
          <w:rFonts w:asciiTheme="minorHAnsi" w:hAnsiTheme="minorHAnsi" w:cstheme="minorHAnsi"/>
          <w:sz w:val="24"/>
          <w:szCs w:val="24"/>
        </w:rPr>
        <w:t xml:space="preserve">No caso em tela, a CEF não tem a propriedade nem sequer o domínio útil ou posse do bem </w:t>
      </w:r>
      <w:r>
        <w:rPr>
          <w:rFonts w:asciiTheme="minorHAnsi" w:hAnsiTheme="minorHAnsi" w:cstheme="minorHAnsi"/>
          <w:sz w:val="24"/>
          <w:szCs w:val="24"/>
        </w:rPr>
        <w:t>que se cobra as taxas condominiais</w:t>
      </w:r>
      <w:r w:rsidRPr="00C60C97">
        <w:rPr>
          <w:rFonts w:asciiTheme="minorHAnsi" w:hAnsiTheme="minorHAnsi" w:cstheme="minorHAnsi"/>
          <w:sz w:val="24"/>
          <w:szCs w:val="24"/>
        </w:rPr>
        <w:t>, sendo de se concluir pela ilegitimidade de figurar no polo passivo da demanda executiva, o que torna imperiosa sua extinção, nos termos do art. 485, VI, do Código de Processo Civil.</w:t>
      </w:r>
    </w:p>
    <w:p w14:paraId="35B5E738" w14:textId="5DDE14B3" w:rsidR="0004661C" w:rsidRPr="0020614F" w:rsidRDefault="00D4797D" w:rsidP="00290487">
      <w:pPr>
        <w:pStyle w:val="PargrafodaLista"/>
        <w:tabs>
          <w:tab w:val="left" w:pos="0"/>
          <w:tab w:val="left" w:pos="567"/>
        </w:tabs>
        <w:spacing w:line="320" w:lineRule="exact"/>
        <w:ind w:left="0" w:right="426"/>
        <w:jc w:val="center"/>
        <w:rPr>
          <w:rFonts w:ascii="Calibri" w:hAnsi="Calibri" w:cs="Calibri"/>
          <w:b/>
          <w:bCs/>
          <w:smallCaps/>
          <w:lang w:val="pt-BR"/>
        </w:rPr>
      </w:pPr>
      <w:r>
        <w:rPr>
          <w:rFonts w:ascii="Calibri" w:hAnsi="Calibri" w:cs="Calibri"/>
          <w:b/>
          <w:bCs/>
          <w:smallCaps/>
          <w:u w:val="single"/>
          <w:lang w:val="pt-BR"/>
        </w:rPr>
        <w:br/>
      </w:r>
      <w:r w:rsidR="0004661C" w:rsidRPr="0020614F">
        <w:rPr>
          <w:rFonts w:ascii="Calibri" w:hAnsi="Calibri" w:cs="Calibri"/>
          <w:b/>
          <w:bCs/>
          <w:smallCaps/>
          <w:u w:val="single"/>
          <w:lang w:val="pt-BR"/>
        </w:rPr>
        <w:t>Conclusão e pedidos</w:t>
      </w:r>
    </w:p>
    <w:p w14:paraId="1E742A02" w14:textId="77777777" w:rsidR="0004661C" w:rsidRPr="0020614F" w:rsidRDefault="0004661C" w:rsidP="00396D72">
      <w:pPr>
        <w:tabs>
          <w:tab w:val="left" w:pos="0"/>
          <w:tab w:val="left" w:pos="567"/>
        </w:tabs>
        <w:spacing w:line="320" w:lineRule="exact"/>
        <w:ind w:right="426"/>
        <w:jc w:val="center"/>
        <w:rPr>
          <w:rFonts w:cs="Calibri"/>
          <w:b/>
          <w:bCs/>
          <w:smallCaps/>
          <w:sz w:val="24"/>
          <w:szCs w:val="24"/>
        </w:rPr>
      </w:pPr>
    </w:p>
    <w:p w14:paraId="03F05BD9" w14:textId="319603A8" w:rsidR="003E11A0" w:rsidRPr="0020614F" w:rsidRDefault="003E11A0" w:rsidP="00396D72">
      <w:pPr>
        <w:tabs>
          <w:tab w:val="left" w:pos="709"/>
        </w:tabs>
        <w:spacing w:line="320" w:lineRule="exact"/>
        <w:ind w:right="426"/>
        <w:jc w:val="both"/>
        <w:rPr>
          <w:rFonts w:cs="Calibri"/>
          <w:sz w:val="24"/>
          <w:szCs w:val="24"/>
        </w:rPr>
      </w:pPr>
      <w:r w:rsidRPr="0020614F">
        <w:rPr>
          <w:rFonts w:cs="Calibri"/>
          <w:sz w:val="24"/>
          <w:szCs w:val="24"/>
        </w:rPr>
        <w:tab/>
      </w:r>
      <w:r w:rsidR="0004661C" w:rsidRPr="0020614F">
        <w:rPr>
          <w:rFonts w:cs="Calibri"/>
          <w:sz w:val="24"/>
          <w:szCs w:val="24"/>
        </w:rPr>
        <w:t xml:space="preserve">Por todo o exposto, requer a </w:t>
      </w:r>
      <w:r w:rsidR="00090C70" w:rsidRPr="0020614F">
        <w:rPr>
          <w:rFonts w:cs="Calibri"/>
          <w:sz w:val="24"/>
          <w:szCs w:val="24"/>
        </w:rPr>
        <w:t>recorrida</w:t>
      </w:r>
      <w:r w:rsidR="0004661C" w:rsidRPr="0020614F">
        <w:rPr>
          <w:rFonts w:cs="Calibri"/>
          <w:sz w:val="24"/>
          <w:szCs w:val="24"/>
        </w:rPr>
        <w:t xml:space="preserve"> seja </w:t>
      </w:r>
      <w:r w:rsidR="0004661C" w:rsidRPr="0020614F">
        <w:rPr>
          <w:rFonts w:cs="Calibri"/>
          <w:b/>
          <w:bCs/>
          <w:sz w:val="24"/>
          <w:szCs w:val="24"/>
          <w:u w:val="single"/>
        </w:rPr>
        <w:t>negado provimento</w:t>
      </w:r>
      <w:r w:rsidR="0004661C" w:rsidRPr="0020614F">
        <w:rPr>
          <w:rFonts w:cs="Calibri"/>
          <w:sz w:val="24"/>
          <w:szCs w:val="24"/>
        </w:rPr>
        <w:t xml:space="preserve"> ao recurso ora combatido, de modo que seja negado o pedido deduzido.</w:t>
      </w:r>
    </w:p>
    <w:p w14:paraId="6A31F149" w14:textId="77777777" w:rsidR="00886EC8" w:rsidRPr="0020614F" w:rsidRDefault="00886EC8" w:rsidP="00396D72">
      <w:pPr>
        <w:pStyle w:val="PargrafodaLista"/>
        <w:tabs>
          <w:tab w:val="left" w:pos="709"/>
        </w:tabs>
        <w:spacing w:line="320" w:lineRule="exact"/>
        <w:ind w:left="0" w:right="426"/>
        <w:jc w:val="both"/>
        <w:rPr>
          <w:rFonts w:ascii="Calibri" w:hAnsi="Calibri" w:cs="Calibri"/>
          <w:lang w:val="pt-BR"/>
        </w:rPr>
      </w:pPr>
    </w:p>
    <w:p w14:paraId="2F57FE7A" w14:textId="77777777" w:rsidR="007A3913" w:rsidRPr="0020614F" w:rsidRDefault="007A3913" w:rsidP="007A3913">
      <w:pPr>
        <w:pStyle w:val="PargrafodaLista"/>
        <w:tabs>
          <w:tab w:val="left" w:pos="709"/>
        </w:tabs>
        <w:spacing w:line="320" w:lineRule="exact"/>
        <w:ind w:left="0" w:right="426"/>
        <w:jc w:val="both"/>
        <w:rPr>
          <w:rFonts w:ascii="Calibri" w:hAnsi="Calibri" w:cs="Calibri"/>
          <w:lang w:val="pt-BR"/>
        </w:rPr>
      </w:pPr>
      <w:bookmarkStart w:id="1" w:name="_Hlk129718454"/>
      <w:r w:rsidRPr="0020614F">
        <w:rPr>
          <w:rFonts w:ascii="Calibri" w:hAnsi="Calibri" w:cs="Calibri"/>
          <w:lang w:val="pt-BR"/>
        </w:rPr>
        <w:tab/>
        <w:t>Pugna a parte recorrida pela condenação da parte recorrente em custas e honorários do advogado.</w:t>
      </w:r>
    </w:p>
    <w:bookmarkEnd w:id="1"/>
    <w:p w14:paraId="6C0B6C99" w14:textId="388C1008" w:rsidR="00862622" w:rsidRPr="0020614F" w:rsidRDefault="00862622" w:rsidP="00862622">
      <w:pPr>
        <w:pStyle w:val="Corpodetexto"/>
        <w:ind w:firstLine="1417"/>
        <w:rPr>
          <w:rFonts w:ascii="Calibri" w:eastAsiaTheme="minorEastAsia" w:hAnsi="Calibri" w:cs="Calibri"/>
          <w:lang w:eastAsia="ja-JP" w:bidi="ar-SA"/>
        </w:rPr>
      </w:pPr>
      <w:r w:rsidRPr="0020614F">
        <w:rPr>
          <w:rFonts w:ascii="Calibri" w:eastAsiaTheme="minorEastAsia" w:hAnsi="Calibri" w:cs="Calibri"/>
          <w:lang w:eastAsia="ja-JP" w:bidi="ar-SA"/>
        </w:rPr>
        <w:t xml:space="preserve">Requer a Ré que todas as intimações sejam encaminhadas ao escritório de seus patronos, sito na Rua do Passeio, 38, Torre </w:t>
      </w:r>
      <w:proofErr w:type="gramStart"/>
      <w:r w:rsidRPr="0020614F">
        <w:rPr>
          <w:rFonts w:ascii="Calibri" w:eastAsiaTheme="minorEastAsia" w:hAnsi="Calibri" w:cs="Calibri"/>
          <w:lang w:eastAsia="ja-JP" w:bidi="ar-SA"/>
        </w:rPr>
        <w:t>2, 15 andar</w:t>
      </w:r>
      <w:proofErr w:type="gramEnd"/>
      <w:r w:rsidRPr="0020614F">
        <w:rPr>
          <w:rFonts w:ascii="Calibri" w:eastAsiaTheme="minorEastAsia" w:hAnsi="Calibri" w:cs="Calibri"/>
          <w:lang w:eastAsia="ja-JP" w:bidi="ar-SA"/>
        </w:rPr>
        <w:t>, Sala 1509/1512 – Centro - CEP:20021-290 – RJ – Rio de Janeiro e que as publicações sejam realizadas, exclusivamente, em nome do patrono Dr. JOÃO ALVES BARBOSA FILHO, inscrito sob o nº OAB/RS 90657-A, sob pena de nulidade das mesmas.</w:t>
      </w:r>
    </w:p>
    <w:p w14:paraId="18298950" w14:textId="1E3E3826" w:rsidR="00862622" w:rsidRPr="0020614F" w:rsidRDefault="00862622" w:rsidP="00862622">
      <w:pPr>
        <w:pStyle w:val="Corpodetexto"/>
        <w:ind w:left="1416" w:firstLine="1"/>
        <w:jc w:val="center"/>
        <w:rPr>
          <w:rFonts w:ascii="Calibri" w:eastAsiaTheme="minorEastAsia" w:hAnsi="Calibri" w:cs="Calibri"/>
          <w:lang w:eastAsia="ja-JP" w:bidi="ar-SA"/>
        </w:rPr>
      </w:pPr>
      <w:r w:rsidRPr="0020614F">
        <w:rPr>
          <w:rFonts w:ascii="Calibri" w:eastAsiaTheme="minorEastAsia" w:hAnsi="Calibri" w:cs="Calibri"/>
          <w:lang w:eastAsia="ja-JP" w:bidi="ar-SA"/>
        </w:rPr>
        <w:t xml:space="preserve">Nestes </w:t>
      </w:r>
      <w:proofErr w:type="gramStart"/>
      <w:r w:rsidRPr="0020614F">
        <w:rPr>
          <w:rFonts w:ascii="Calibri" w:eastAsiaTheme="minorEastAsia" w:hAnsi="Calibri" w:cs="Calibri"/>
          <w:lang w:eastAsia="ja-JP" w:bidi="ar-SA"/>
        </w:rPr>
        <w:t>Termos,</w:t>
      </w:r>
      <w:r w:rsidRPr="0020614F">
        <w:rPr>
          <w:rFonts w:ascii="Calibri" w:eastAsiaTheme="minorEastAsia" w:hAnsi="Calibri" w:cs="Calibri"/>
          <w:lang w:eastAsia="ja-JP" w:bidi="ar-SA"/>
        </w:rPr>
        <w:br/>
        <w:t>Pede</w:t>
      </w:r>
      <w:proofErr w:type="gramEnd"/>
      <w:r w:rsidRPr="0020614F">
        <w:rPr>
          <w:rFonts w:ascii="Calibri" w:eastAsiaTheme="minorEastAsia" w:hAnsi="Calibri" w:cs="Calibri"/>
          <w:lang w:eastAsia="ja-JP" w:bidi="ar-SA"/>
        </w:rPr>
        <w:t xml:space="preserve"> Deferimento,</w:t>
      </w:r>
    </w:p>
    <w:p w14:paraId="75E14D7A" w14:textId="7FE96427" w:rsidR="00862622" w:rsidRPr="002D5FB7" w:rsidRDefault="00E81E3A" w:rsidP="00862622">
      <w:pPr>
        <w:pStyle w:val="Corpodetexto"/>
        <w:ind w:firstLine="1417"/>
        <w:jc w:val="center"/>
        <w:rPr>
          <w:rFonts w:ascii="Calibri" w:eastAsiaTheme="minorEastAsia" w:hAnsi="Calibri" w:cs="Calibri"/>
          <w:lang w:val="en-US" w:eastAsia="ja-JP" w:bidi="ar-SA"/>
        </w:rPr>
      </w:pPr>
      <w:r>
        <w:rPr>
          <w:rFonts w:ascii="Calibri" w:eastAsiaTheme="minorEastAsia" w:hAnsi="Calibri" w:cs="Calibri"/>
          <w:lang w:val="en-US" w:eastAsia="ja-JP" w:bidi="ar-SA"/>
        </w:rPr>
        <w:t>PORTO ALEGRE</w:t>
      </w:r>
      <w:r w:rsidR="00862622" w:rsidRPr="002D5FB7">
        <w:rPr>
          <w:rFonts w:ascii="Calibri" w:eastAsiaTheme="minorEastAsia" w:hAnsi="Calibri" w:cs="Calibri"/>
          <w:lang w:val="en-US" w:eastAsia="ja-JP" w:bidi="ar-SA"/>
        </w:rPr>
        <w:t xml:space="preserve">, </w:t>
      </w:r>
      <w:r>
        <w:rPr>
          <w:rFonts w:ascii="Calibri" w:eastAsiaTheme="minorEastAsia" w:hAnsi="Calibri" w:cs="Calibri"/>
          <w:lang w:val="en-US" w:eastAsia="ja-JP" w:bidi="ar-SA"/>
        </w:rPr>
        <w:t>04</w:t>
      </w:r>
      <w:r w:rsidR="00862622" w:rsidRPr="002D5FB7">
        <w:rPr>
          <w:rFonts w:ascii="Calibri" w:eastAsiaTheme="minorEastAsia" w:hAnsi="Calibri" w:cs="Calibri"/>
          <w:lang w:val="en-US" w:eastAsia="ja-JP" w:bidi="ar-SA"/>
        </w:rPr>
        <w:t xml:space="preserve"> de </w:t>
      </w:r>
      <w:proofErr w:type="spellStart"/>
      <w:r>
        <w:rPr>
          <w:rFonts w:ascii="Calibri" w:eastAsiaTheme="minorEastAsia" w:hAnsi="Calibri" w:cs="Calibri"/>
          <w:lang w:val="en-US" w:eastAsia="ja-JP" w:bidi="ar-SA"/>
        </w:rPr>
        <w:t>Dez</w:t>
      </w:r>
      <w:r w:rsidR="00B83EBB">
        <w:rPr>
          <w:rFonts w:ascii="Calibri" w:eastAsiaTheme="minorEastAsia" w:hAnsi="Calibri" w:cs="Calibri"/>
          <w:lang w:val="en-US" w:eastAsia="ja-JP" w:bidi="ar-SA"/>
        </w:rPr>
        <w:t>embro</w:t>
      </w:r>
      <w:proofErr w:type="spellEnd"/>
      <w:r w:rsidR="00862622" w:rsidRPr="002D5FB7">
        <w:rPr>
          <w:rFonts w:ascii="Calibri" w:eastAsiaTheme="minorEastAsia" w:hAnsi="Calibri" w:cs="Calibri"/>
          <w:lang w:val="en-US" w:eastAsia="ja-JP" w:bidi="ar-SA"/>
        </w:rPr>
        <w:t xml:space="preserve"> de 2023.</w:t>
      </w:r>
    </w:p>
    <w:p w14:paraId="2AE38B69" w14:textId="09116481" w:rsidR="004C7639" w:rsidRPr="002D5FB7" w:rsidRDefault="00862622" w:rsidP="00862622">
      <w:pPr>
        <w:pStyle w:val="Corpodetexto"/>
        <w:ind w:left="1417"/>
        <w:jc w:val="center"/>
        <w:rPr>
          <w:rFonts w:ascii="Calibri" w:eastAsiaTheme="minorEastAsia" w:hAnsi="Calibri" w:cs="Calibri"/>
          <w:b/>
          <w:bCs/>
          <w:lang w:val="en-US" w:eastAsia="ja-JP" w:bidi="ar-SA"/>
        </w:rPr>
      </w:pPr>
      <w:r w:rsidRPr="002D5FB7">
        <w:rPr>
          <w:rFonts w:ascii="Calibri" w:eastAsiaTheme="minorEastAsia" w:hAnsi="Calibri" w:cs="Calibri"/>
          <w:b/>
          <w:bCs/>
          <w:lang w:val="en-US" w:eastAsia="ja-JP" w:bidi="ar-SA"/>
        </w:rPr>
        <w:t>JOÃO BARBOSA</w:t>
      </w:r>
      <w:r w:rsidRPr="002D5FB7">
        <w:rPr>
          <w:rFonts w:ascii="Calibri" w:eastAsiaTheme="minorEastAsia" w:hAnsi="Calibri" w:cs="Calibri"/>
          <w:b/>
          <w:bCs/>
          <w:lang w:val="en-US" w:eastAsia="ja-JP" w:bidi="ar-SA"/>
        </w:rPr>
        <w:br/>
        <w:t>OAB/RS 90657-A</w:t>
      </w:r>
    </w:p>
    <w:p w14:paraId="7A17B87E" w14:textId="77777777" w:rsidR="004C7639" w:rsidRPr="002D5FB7" w:rsidRDefault="004C7639" w:rsidP="004C7639">
      <w:pPr>
        <w:spacing w:before="200" w:after="200" w:line="240" w:lineRule="auto"/>
        <w:jc w:val="both"/>
        <w:rPr>
          <w:rFonts w:cs="Calibri"/>
          <w:sz w:val="24"/>
          <w:szCs w:val="24"/>
        </w:rPr>
      </w:pPr>
    </w:p>
    <w:p w14:paraId="60DCF190" w14:textId="0C354106" w:rsidR="00FA2C18" w:rsidRPr="002D5FB7" w:rsidRDefault="005941C5" w:rsidP="00E962C2">
      <w:pPr>
        <w:spacing w:before="200" w:after="200" w:line="240" w:lineRule="auto"/>
        <w:jc w:val="both"/>
        <w:rPr>
          <w:rFonts w:cs="Calibri"/>
          <w:sz w:val="24"/>
          <w:szCs w:val="24"/>
        </w:rPr>
      </w:pPr>
      <w:r w:rsidRPr="002D5FB7">
        <w:rPr>
          <w:rFonts w:cs="Calibri"/>
          <w:sz w:val="24"/>
          <w:szCs w:val="24"/>
        </w:rPr>
        <w:lastRenderedPageBreak/>
        <w:t> </w:t>
      </w:r>
    </w:p>
    <w:sectPr w:rsidR="00FA2C18" w:rsidRPr="002D5FB7" w:rsidSect="0076787A">
      <w:footerReference w:type="default" r:id="rId12"/>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B3C027" w14:textId="77777777" w:rsidR="002338D6" w:rsidRDefault="002338D6">
      <w:pPr>
        <w:spacing w:after="0" w:line="240" w:lineRule="auto"/>
      </w:pPr>
      <w:r>
        <w:separator/>
      </w:r>
    </w:p>
  </w:endnote>
  <w:endnote w:type="continuationSeparator" w:id="0">
    <w:p w14:paraId="78F11CAF" w14:textId="77777777" w:rsidR="002338D6" w:rsidRDefault="00233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F4EA4" w14:textId="77777777" w:rsidR="002338D6" w:rsidRDefault="002338D6">
      <w:pPr>
        <w:spacing w:after="0" w:line="240" w:lineRule="auto"/>
      </w:pPr>
      <w:r>
        <w:separator/>
      </w:r>
    </w:p>
  </w:footnote>
  <w:footnote w:type="continuationSeparator" w:id="0">
    <w:p w14:paraId="60B21D41" w14:textId="77777777" w:rsidR="002338D6" w:rsidRDefault="00233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F96840"/>
    <w:multiLevelType w:val="hybridMultilevel"/>
    <w:tmpl w:val="5C246AF0"/>
    <w:lvl w:ilvl="0" w:tplc="047C5902">
      <w:start w:val="1"/>
      <w:numFmt w:val="decimal"/>
      <w:pStyle w:val="CaixaPadro"/>
      <w:lvlText w:val="%1."/>
      <w:lvlJc w:val="left"/>
      <w:pPr>
        <w:tabs>
          <w:tab w:val="num" w:pos="3839"/>
        </w:tabs>
        <w:ind w:left="3839" w:hanging="360"/>
      </w:pPr>
      <w:rPr>
        <w:rFonts w:ascii="Bookman Old Style" w:hAnsi="Bookman Old Style"/>
        <w:sz w:val="22"/>
      </w:rPr>
    </w:lvl>
    <w:lvl w:ilvl="1" w:tplc="04160019">
      <w:start w:val="1"/>
      <w:numFmt w:val="lowerLetter"/>
      <w:lvlText w:val="%2."/>
      <w:lvlJc w:val="left"/>
      <w:pPr>
        <w:tabs>
          <w:tab w:val="num" w:pos="4559"/>
        </w:tabs>
        <w:ind w:left="4559" w:hanging="360"/>
      </w:pPr>
    </w:lvl>
    <w:lvl w:ilvl="2" w:tplc="0416001B">
      <w:start w:val="1"/>
      <w:numFmt w:val="lowerRoman"/>
      <w:lvlText w:val="%3."/>
      <w:lvlJc w:val="right"/>
      <w:pPr>
        <w:tabs>
          <w:tab w:val="num" w:pos="5279"/>
        </w:tabs>
        <w:ind w:left="5279" w:hanging="180"/>
      </w:pPr>
    </w:lvl>
    <w:lvl w:ilvl="3" w:tplc="0416000F">
      <w:start w:val="1"/>
      <w:numFmt w:val="decimal"/>
      <w:lvlText w:val="%4."/>
      <w:lvlJc w:val="left"/>
      <w:pPr>
        <w:tabs>
          <w:tab w:val="num" w:pos="5999"/>
        </w:tabs>
        <w:ind w:left="5999" w:hanging="360"/>
      </w:pPr>
    </w:lvl>
    <w:lvl w:ilvl="4" w:tplc="04160019">
      <w:start w:val="1"/>
      <w:numFmt w:val="lowerLetter"/>
      <w:lvlText w:val="%5."/>
      <w:lvlJc w:val="left"/>
      <w:pPr>
        <w:tabs>
          <w:tab w:val="num" w:pos="6719"/>
        </w:tabs>
        <w:ind w:left="6719" w:hanging="360"/>
      </w:pPr>
    </w:lvl>
    <w:lvl w:ilvl="5" w:tplc="0416001B">
      <w:start w:val="1"/>
      <w:numFmt w:val="lowerRoman"/>
      <w:lvlText w:val="%6."/>
      <w:lvlJc w:val="right"/>
      <w:pPr>
        <w:tabs>
          <w:tab w:val="num" w:pos="7439"/>
        </w:tabs>
        <w:ind w:left="7439" w:hanging="180"/>
      </w:pPr>
    </w:lvl>
    <w:lvl w:ilvl="6" w:tplc="0416000F">
      <w:start w:val="1"/>
      <w:numFmt w:val="decimal"/>
      <w:lvlText w:val="%7."/>
      <w:lvlJc w:val="left"/>
      <w:pPr>
        <w:tabs>
          <w:tab w:val="num" w:pos="8159"/>
        </w:tabs>
        <w:ind w:left="8159" w:hanging="360"/>
      </w:pPr>
    </w:lvl>
    <w:lvl w:ilvl="7" w:tplc="04160019">
      <w:start w:val="1"/>
      <w:numFmt w:val="lowerLetter"/>
      <w:lvlText w:val="%8."/>
      <w:lvlJc w:val="left"/>
      <w:pPr>
        <w:tabs>
          <w:tab w:val="num" w:pos="8879"/>
        </w:tabs>
        <w:ind w:left="8879" w:hanging="360"/>
      </w:pPr>
    </w:lvl>
    <w:lvl w:ilvl="8" w:tplc="0416001B">
      <w:start w:val="1"/>
      <w:numFmt w:val="lowerRoman"/>
      <w:lvlText w:val="%9."/>
      <w:lvlJc w:val="right"/>
      <w:pPr>
        <w:tabs>
          <w:tab w:val="num" w:pos="9599"/>
        </w:tabs>
        <w:ind w:left="9599" w:hanging="180"/>
      </w:pPr>
    </w:lvl>
  </w:abstractNum>
  <w:abstractNum w:abstractNumId="2"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4"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5"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num>
  <w:num w:numId="5">
    <w:abstractNumId w:val="4"/>
    <w:lvlOverride w:ilvl="0">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9B7"/>
    <w:rsid w:val="00013CE3"/>
    <w:rsid w:val="0004661C"/>
    <w:rsid w:val="00090C70"/>
    <w:rsid w:val="000C60A8"/>
    <w:rsid w:val="00181DE2"/>
    <w:rsid w:val="001833C2"/>
    <w:rsid w:val="001E5FCE"/>
    <w:rsid w:val="0020614F"/>
    <w:rsid w:val="002338D6"/>
    <w:rsid w:val="00255B3C"/>
    <w:rsid w:val="00275C7B"/>
    <w:rsid w:val="00290487"/>
    <w:rsid w:val="002D5FB7"/>
    <w:rsid w:val="00320DCE"/>
    <w:rsid w:val="00326B23"/>
    <w:rsid w:val="003349B7"/>
    <w:rsid w:val="0037684E"/>
    <w:rsid w:val="00387F34"/>
    <w:rsid w:val="00396D72"/>
    <w:rsid w:val="003973E1"/>
    <w:rsid w:val="003E11A0"/>
    <w:rsid w:val="003F2F46"/>
    <w:rsid w:val="003F5DCE"/>
    <w:rsid w:val="00404C94"/>
    <w:rsid w:val="004255B4"/>
    <w:rsid w:val="00486EBB"/>
    <w:rsid w:val="004C1027"/>
    <w:rsid w:val="004C7639"/>
    <w:rsid w:val="0052134B"/>
    <w:rsid w:val="00530F86"/>
    <w:rsid w:val="00541DE7"/>
    <w:rsid w:val="005663F9"/>
    <w:rsid w:val="005869BC"/>
    <w:rsid w:val="005941C5"/>
    <w:rsid w:val="005A5474"/>
    <w:rsid w:val="005D4224"/>
    <w:rsid w:val="005E226B"/>
    <w:rsid w:val="00654BB2"/>
    <w:rsid w:val="00673F32"/>
    <w:rsid w:val="006B5371"/>
    <w:rsid w:val="006F66E3"/>
    <w:rsid w:val="006F7A6B"/>
    <w:rsid w:val="00701612"/>
    <w:rsid w:val="0076787A"/>
    <w:rsid w:val="007A3913"/>
    <w:rsid w:val="007E1F86"/>
    <w:rsid w:val="00862622"/>
    <w:rsid w:val="00873596"/>
    <w:rsid w:val="00874FFE"/>
    <w:rsid w:val="008765E4"/>
    <w:rsid w:val="00886EC8"/>
    <w:rsid w:val="008B00C4"/>
    <w:rsid w:val="008E1AB2"/>
    <w:rsid w:val="008F4CF5"/>
    <w:rsid w:val="00956E0D"/>
    <w:rsid w:val="00965291"/>
    <w:rsid w:val="009A57CE"/>
    <w:rsid w:val="009D3C6C"/>
    <w:rsid w:val="009E3B76"/>
    <w:rsid w:val="00B36974"/>
    <w:rsid w:val="00B51EC9"/>
    <w:rsid w:val="00B83EBB"/>
    <w:rsid w:val="00C81778"/>
    <w:rsid w:val="00CA090F"/>
    <w:rsid w:val="00CC074C"/>
    <w:rsid w:val="00D4797D"/>
    <w:rsid w:val="00D545F2"/>
    <w:rsid w:val="00DA3C45"/>
    <w:rsid w:val="00DA4388"/>
    <w:rsid w:val="00DB59AA"/>
    <w:rsid w:val="00E015EA"/>
    <w:rsid w:val="00E67247"/>
    <w:rsid w:val="00E81E3A"/>
    <w:rsid w:val="00E962C2"/>
    <w:rsid w:val="00EB1525"/>
    <w:rsid w:val="00EB6B0C"/>
    <w:rsid w:val="00EC3A99"/>
    <w:rsid w:val="00EE18FB"/>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EBB"/>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paragraph" w:styleId="Ttulo3">
    <w:name w:val="heading 3"/>
    <w:basedOn w:val="Normal"/>
    <w:next w:val="Normal"/>
    <w:link w:val="Ttulo3Char"/>
    <w:uiPriority w:val="9"/>
    <w:semiHidden/>
    <w:unhideWhenUsed/>
    <w:qFormat/>
    <w:rsid w:val="008626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aliases w:val="Normal numerado"/>
    <w:basedOn w:val="Normal"/>
    <w:link w:val="PargrafodaListaChar"/>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Ttulo3Char">
    <w:name w:val="Título 3 Char"/>
    <w:basedOn w:val="Fontepargpadro"/>
    <w:link w:val="Ttulo3"/>
    <w:semiHidden/>
    <w:rsid w:val="00862622"/>
    <w:rPr>
      <w:rFonts w:asciiTheme="majorHAnsi" w:eastAsiaTheme="majorEastAsia" w:hAnsiTheme="majorHAnsi" w:cstheme="majorBidi"/>
      <w:color w:val="243F60" w:themeColor="accent1" w:themeShade="7F"/>
      <w:sz w:val="24"/>
      <w:szCs w:val="24"/>
      <w:lang w:eastAsia="en-US"/>
    </w:rPr>
  </w:style>
  <w:style w:type="paragraph" w:styleId="Recuodecorpodetexto2">
    <w:name w:val="Body Text Indent 2"/>
    <w:basedOn w:val="Normal"/>
    <w:link w:val="Recuodecorpodetexto2Char"/>
    <w:uiPriority w:val="99"/>
    <w:semiHidden/>
    <w:unhideWhenUsed/>
    <w:rsid w:val="0020614F"/>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0614F"/>
    <w:rPr>
      <w:sz w:val="22"/>
      <w:szCs w:val="22"/>
      <w:lang w:eastAsia="en-US"/>
    </w:rPr>
  </w:style>
  <w:style w:type="character" w:customStyle="1" w:styleId="PargrafodaListaChar">
    <w:name w:val="Parágrafo da Lista Char"/>
    <w:aliases w:val="Normal numerado Char"/>
    <w:link w:val="PargrafodaLista"/>
    <w:uiPriority w:val="34"/>
    <w:locked/>
    <w:rsid w:val="0020614F"/>
    <w:rPr>
      <w:rFonts w:asciiTheme="minorHAnsi" w:eastAsiaTheme="minorEastAsia" w:hAnsiTheme="minorHAnsi" w:cstheme="minorBidi"/>
      <w:sz w:val="24"/>
      <w:szCs w:val="24"/>
      <w:lang w:val="en-US" w:eastAsia="ja-JP"/>
    </w:rPr>
  </w:style>
  <w:style w:type="paragraph" w:styleId="Recuodecorpodetexto">
    <w:name w:val="Body Text Indent"/>
    <w:basedOn w:val="Normal"/>
    <w:link w:val="RecuodecorpodetextoChar"/>
    <w:uiPriority w:val="99"/>
    <w:semiHidden/>
    <w:unhideWhenUsed/>
    <w:rsid w:val="001833C2"/>
    <w:pPr>
      <w:spacing w:after="120"/>
      <w:ind w:left="283"/>
    </w:pPr>
  </w:style>
  <w:style w:type="character" w:customStyle="1" w:styleId="RecuodecorpodetextoChar">
    <w:name w:val="Recuo de corpo de texto Char"/>
    <w:basedOn w:val="Fontepargpadro"/>
    <w:link w:val="Recuodecorpodetexto"/>
    <w:uiPriority w:val="99"/>
    <w:semiHidden/>
    <w:rsid w:val="001833C2"/>
    <w:rPr>
      <w:sz w:val="22"/>
      <w:szCs w:val="22"/>
      <w:lang w:eastAsia="en-US"/>
    </w:rPr>
  </w:style>
  <w:style w:type="paragraph" w:styleId="Recuodecorpodetexto3">
    <w:name w:val="Body Text Indent 3"/>
    <w:basedOn w:val="Normal"/>
    <w:link w:val="Recuodecorpodetexto3Char"/>
    <w:uiPriority w:val="99"/>
    <w:semiHidden/>
    <w:unhideWhenUsed/>
    <w:rsid w:val="001833C2"/>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833C2"/>
    <w:rPr>
      <w:sz w:val="16"/>
      <w:szCs w:val="16"/>
      <w:lang w:eastAsia="en-US"/>
    </w:rPr>
  </w:style>
  <w:style w:type="paragraph" w:styleId="Textoembloco">
    <w:name w:val="Block Text"/>
    <w:basedOn w:val="Normal"/>
    <w:rsid w:val="001833C2"/>
    <w:pPr>
      <w:spacing w:after="0" w:line="240" w:lineRule="auto"/>
      <w:ind w:left="1080" w:right="393"/>
      <w:jc w:val="both"/>
    </w:pPr>
    <w:rPr>
      <w:rFonts w:ascii="Courier New" w:eastAsia="Arial Unicode MS" w:hAnsi="Courier New" w:cs="Courier New"/>
      <w:b/>
      <w:bCs/>
      <w:lang w:eastAsia="pt-BR"/>
    </w:rPr>
  </w:style>
  <w:style w:type="paragraph" w:customStyle="1" w:styleId="CaixaPadro">
    <w:name w:val="Caixa Padrão"/>
    <w:basedOn w:val="Normal"/>
    <w:rsid w:val="004255B4"/>
    <w:pPr>
      <w:numPr>
        <w:numId w:val="6"/>
      </w:numPr>
      <w:spacing w:after="0" w:line="360" w:lineRule="auto"/>
      <w:jc w:val="both"/>
    </w:pPr>
    <w:rPr>
      <w:rFonts w:ascii="Bookman Old Style" w:eastAsia="Times New Roman" w:hAnsi="Bookman Old Style"/>
      <w:szCs w:val="20"/>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40E00-AFA1-4676-AFB5-B336A337A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1541</Words>
  <Characters>8324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Conta da Microsoft</cp:lastModifiedBy>
  <cp:revision>2</cp:revision>
  <dcterms:created xsi:type="dcterms:W3CDTF">2023-12-04T16:10:00Z</dcterms:created>
  <dcterms:modified xsi:type="dcterms:W3CDTF">2023-12-04T16:10:00Z</dcterms:modified>
</cp:coreProperties>
</file>