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23FF4D16" w14:textId="4FF5B7FE" w:rsidR="006F63EE" w:rsidRPr="006F63EE" w:rsidRDefault="006F63EE" w:rsidP="00332111">
      <w:pPr>
        <w:spacing w:before="200" w:after="200" w:line="240" w:lineRule="auto"/>
        <w:ind w:right="-141"/>
        <w:rPr>
          <w:rFonts w:asciiTheme="minorHAnsi" w:hAnsiTheme="minorHAnsi" w:cstheme="minorHAnsi"/>
          <w:sz w:val="24"/>
          <w:szCs w:val="24"/>
        </w:rPr>
      </w:pPr>
      <w:r w:rsidRPr="006F63EE">
        <w:rPr>
          <w:rFonts w:asciiTheme="minorHAnsi" w:hAnsiTheme="minorHAnsi" w:cstheme="minorHAnsi"/>
          <w:b/>
          <w:bCs/>
          <w:sz w:val="24"/>
          <w:szCs w:val="24"/>
        </w:rPr>
        <w:t xml:space="preserve">EXMO. SR. DR. JUIZ FEDERAL DA </w:t>
      </w:r>
      <w:r w:rsidR="000F5E1D">
        <w:rPr>
          <w:rFonts w:asciiTheme="minorHAnsi" w:hAnsiTheme="minorHAnsi" w:cstheme="minorHAnsi"/>
          <w:b/>
          <w:bCs/>
          <w:sz w:val="24"/>
          <w:szCs w:val="24"/>
        </w:rPr>
        <w:t>2</w:t>
      </w:r>
      <w:r w:rsidRPr="006F63EE">
        <w:rPr>
          <w:rFonts w:asciiTheme="minorHAnsi" w:hAnsiTheme="minorHAnsi" w:cstheme="minorHAnsi"/>
          <w:b/>
          <w:bCs/>
          <w:sz w:val="24"/>
          <w:szCs w:val="24"/>
        </w:rPr>
        <w:t xml:space="preserve">ª VARA FEDERAL DA SUBSEÇÃO DE </w:t>
      </w:r>
      <w:r w:rsidR="000F5E1D">
        <w:rPr>
          <w:rFonts w:asciiTheme="minorHAnsi" w:hAnsiTheme="minorHAnsi" w:cstheme="minorHAnsi"/>
          <w:b/>
          <w:bCs/>
          <w:sz w:val="24"/>
          <w:szCs w:val="24"/>
        </w:rPr>
        <w:t>RIO GRANDE</w:t>
      </w:r>
      <w:r w:rsidRPr="006F63EE">
        <w:rPr>
          <w:rFonts w:asciiTheme="minorHAnsi" w:hAnsiTheme="minorHAnsi" w:cstheme="minorHAnsi"/>
          <w:b/>
          <w:bCs/>
          <w:sz w:val="24"/>
          <w:szCs w:val="24"/>
        </w:rPr>
        <w:t xml:space="preserve"> – SEÇÃO</w:t>
      </w:r>
      <w:r>
        <w:rPr>
          <w:rFonts w:asciiTheme="minorHAnsi" w:hAnsiTheme="minorHAnsi" w:cstheme="minorHAnsi"/>
          <w:b/>
          <w:bCs/>
          <w:sz w:val="24"/>
          <w:szCs w:val="24"/>
        </w:rPr>
        <w:t xml:space="preserve"> </w:t>
      </w:r>
      <w:r w:rsidRPr="006F63EE">
        <w:rPr>
          <w:rFonts w:asciiTheme="minorHAnsi" w:hAnsiTheme="minorHAnsi" w:cstheme="minorHAnsi"/>
          <w:b/>
          <w:bCs/>
          <w:sz w:val="24"/>
          <w:szCs w:val="24"/>
        </w:rPr>
        <w:t>JUDICIÁRIA DO RIO GRANDE DO SUL</w:t>
      </w:r>
    </w:p>
    <w:p w14:paraId="143D0A61"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04C3E65C"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6A6916F5"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693C81DB" w14:textId="2C8992E3" w:rsidR="006F63EE" w:rsidRPr="006F63EE" w:rsidRDefault="006F63EE" w:rsidP="00CC7E06">
      <w:pPr>
        <w:spacing w:before="200" w:after="200" w:line="240" w:lineRule="auto"/>
        <w:jc w:val="both"/>
        <w:rPr>
          <w:rFonts w:asciiTheme="minorHAnsi" w:hAnsiTheme="minorHAnsi" w:cstheme="minorHAnsi"/>
          <w:sz w:val="24"/>
          <w:szCs w:val="24"/>
        </w:rPr>
      </w:pPr>
      <w:r w:rsidRPr="006F63EE">
        <w:rPr>
          <w:rFonts w:asciiTheme="minorHAnsi" w:hAnsiTheme="minorHAnsi" w:cstheme="minorHAnsi"/>
          <w:b/>
          <w:bCs/>
          <w:sz w:val="24"/>
          <w:szCs w:val="24"/>
        </w:rPr>
        <w:t xml:space="preserve">Processo: </w:t>
      </w:r>
      <w:r w:rsidR="00CC7E06" w:rsidRPr="00CC7E06">
        <w:rPr>
          <w:rFonts w:asciiTheme="minorHAnsi" w:hAnsiTheme="minorHAnsi" w:cstheme="minorHAnsi"/>
          <w:sz w:val="24"/>
          <w:szCs w:val="24"/>
        </w:rPr>
        <w:t>5003514-55.2023.4.04.7101/RS</w:t>
      </w:r>
      <w:r w:rsidR="00CC7E06" w:rsidRPr="00CC7E06">
        <w:rPr>
          <w:rFonts w:asciiTheme="minorHAnsi" w:hAnsiTheme="minorHAnsi" w:cstheme="minorHAnsi"/>
          <w:sz w:val="24"/>
          <w:szCs w:val="24"/>
        </w:rPr>
        <w:cr/>
      </w:r>
      <w:r w:rsidRPr="006F63EE">
        <w:rPr>
          <w:rFonts w:asciiTheme="minorHAnsi" w:hAnsiTheme="minorHAnsi" w:cstheme="minorHAnsi"/>
          <w:sz w:val="24"/>
          <w:szCs w:val="24"/>
        </w:rPr>
        <w:t> </w:t>
      </w:r>
    </w:p>
    <w:p w14:paraId="514E92BD"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4E6030E1"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B4007DF" w14:textId="3E710844" w:rsidR="006F63EE" w:rsidRPr="006F63EE" w:rsidRDefault="006F63EE" w:rsidP="006F63EE">
      <w:pPr>
        <w:spacing w:before="200" w:after="200" w:line="240" w:lineRule="auto"/>
        <w:ind w:firstLine="1701"/>
        <w:jc w:val="both"/>
        <w:rPr>
          <w:rFonts w:asciiTheme="minorHAnsi" w:hAnsiTheme="minorHAnsi" w:cstheme="minorHAnsi"/>
          <w:sz w:val="24"/>
          <w:szCs w:val="24"/>
        </w:rPr>
      </w:pPr>
      <w:r w:rsidRPr="006F63EE">
        <w:rPr>
          <w:rFonts w:asciiTheme="minorHAnsi" w:hAnsiTheme="minorHAnsi" w:cstheme="minorHAnsi"/>
          <w:b/>
          <w:bCs/>
          <w:sz w:val="24"/>
          <w:szCs w:val="24"/>
        </w:rPr>
        <w:t>CAIXA ECONÔMICA FEDERAL – CEF</w:t>
      </w:r>
      <w:r w:rsidRPr="006F63EE">
        <w:rPr>
          <w:rFonts w:asciiTheme="minorHAnsi" w:hAnsiTheme="minorHAnsi" w:cstheme="minorHAnsi"/>
          <w:sz w:val="24"/>
          <w:szCs w:val="24"/>
        </w:rPr>
        <w:t xml:space="preserve">, instituição financeira sob a forma de empresa pública, inscrita no CGC/MF sob n.º 00.360.305/1780-00, com sede em Brasília/DF e Escritório de Negócios neste Estado, com endereço na Rua dos Andradas, n.º 1000, em Porto Alegre/RS,, onde recebe citações, intimações e notificações de estilo, por seu advogado que esta subscreve, mandato incluso nos autos da </w:t>
      </w:r>
      <w:r w:rsidRPr="006F63EE">
        <w:rPr>
          <w:rFonts w:asciiTheme="minorHAnsi" w:hAnsiTheme="minorHAnsi" w:cstheme="minorHAnsi"/>
          <w:b/>
          <w:bCs/>
          <w:i/>
          <w:iCs/>
          <w:sz w:val="24"/>
          <w:szCs w:val="24"/>
        </w:rPr>
        <w:t xml:space="preserve">AÇÃO DE OBRIGAÇÃO DE FAZER E INDENIZAÇÃO POR DANOS MATERIAIS E MORAIS, </w:t>
      </w:r>
      <w:r w:rsidRPr="006F63EE">
        <w:rPr>
          <w:rFonts w:asciiTheme="minorHAnsi" w:hAnsiTheme="minorHAnsi" w:cstheme="minorHAnsi"/>
          <w:sz w:val="24"/>
          <w:szCs w:val="24"/>
        </w:rPr>
        <w:t xml:space="preserve">que lhe promove </w:t>
      </w:r>
      <w:r w:rsidR="00CC7E06" w:rsidRPr="00CC7E06">
        <w:rPr>
          <w:rFonts w:asciiTheme="minorHAnsi" w:hAnsiTheme="minorHAnsi" w:cstheme="minorHAnsi"/>
          <w:b/>
          <w:bCs/>
          <w:sz w:val="24"/>
          <w:szCs w:val="24"/>
        </w:rPr>
        <w:t xml:space="preserve"> VANESSA ALMEIDA MATIAS</w:t>
      </w:r>
      <w:r w:rsidR="00CC7E06">
        <w:rPr>
          <w:rFonts w:asciiTheme="minorHAnsi" w:hAnsiTheme="minorHAnsi" w:cstheme="minorHAnsi"/>
          <w:b/>
          <w:bCs/>
          <w:sz w:val="24"/>
          <w:szCs w:val="24"/>
        </w:rPr>
        <w:t xml:space="preserve"> e </w:t>
      </w:r>
      <w:r w:rsidR="00CC7E06" w:rsidRPr="00CC7E06">
        <w:rPr>
          <w:rFonts w:asciiTheme="minorHAnsi" w:hAnsiTheme="minorHAnsi" w:cstheme="minorHAnsi"/>
          <w:b/>
          <w:bCs/>
          <w:sz w:val="24"/>
          <w:szCs w:val="24"/>
        </w:rPr>
        <w:t xml:space="preserve"> ELVALDO ALARCON VAZ</w:t>
      </w:r>
      <w:r w:rsidRPr="006F63EE">
        <w:rPr>
          <w:rFonts w:asciiTheme="minorHAnsi" w:hAnsiTheme="minorHAnsi" w:cstheme="minorHAnsi"/>
          <w:sz w:val="24"/>
          <w:szCs w:val="24"/>
        </w:rPr>
        <w:t xml:space="preserve">, em trâmite perante este Douto Juízo, vem, </w:t>
      </w:r>
      <w:r w:rsidRPr="006F63EE">
        <w:rPr>
          <w:rFonts w:asciiTheme="minorHAnsi" w:hAnsiTheme="minorHAnsi" w:cstheme="minorHAnsi"/>
          <w:i/>
          <w:iCs/>
          <w:sz w:val="24"/>
          <w:szCs w:val="24"/>
        </w:rPr>
        <w:t>mui</w:t>
      </w:r>
      <w:r w:rsidRPr="006F63EE">
        <w:rPr>
          <w:rFonts w:asciiTheme="minorHAnsi" w:hAnsiTheme="minorHAnsi" w:cstheme="minorHAnsi"/>
          <w:sz w:val="24"/>
          <w:szCs w:val="24"/>
        </w:rPr>
        <w:t xml:space="preserve"> respeitosamente, à presença de Vossa Excelência, apresentar</w:t>
      </w:r>
    </w:p>
    <w:p w14:paraId="415E4DEA" w14:textId="77777777" w:rsidR="006F63EE" w:rsidRPr="006F63EE" w:rsidRDefault="006F63EE" w:rsidP="006F63EE">
      <w:pPr>
        <w:spacing w:line="360" w:lineRule="auto"/>
        <w:ind w:firstLine="2835"/>
        <w:rPr>
          <w:rFonts w:asciiTheme="minorHAnsi" w:hAnsiTheme="minorHAnsi" w:cstheme="minorHAnsi"/>
          <w:sz w:val="24"/>
          <w:szCs w:val="24"/>
        </w:rPr>
      </w:pPr>
    </w:p>
    <w:tbl>
      <w:tblPr>
        <w:tblStyle w:val="Tabelacomgrade"/>
        <w:tblW w:w="0" w:type="auto"/>
        <w:jc w:val="center"/>
        <w:tblLook w:val="04A0" w:firstRow="1" w:lastRow="0" w:firstColumn="1" w:lastColumn="0" w:noHBand="0" w:noVBand="1"/>
      </w:tblPr>
      <w:tblGrid>
        <w:gridCol w:w="8778"/>
      </w:tblGrid>
      <w:tr w:rsidR="006F63EE" w:rsidRPr="006F63EE" w14:paraId="7ECFDB02" w14:textId="77777777" w:rsidTr="00C7028E">
        <w:trPr>
          <w:jc w:val="center"/>
        </w:trPr>
        <w:tc>
          <w:tcPr>
            <w:tcW w:w="8778" w:type="dxa"/>
            <w:shd w:val="clear" w:color="auto" w:fill="D9D9D9" w:themeFill="background1" w:themeFillShade="D9"/>
            <w:vAlign w:val="center"/>
          </w:tcPr>
          <w:p w14:paraId="59DFEE8F" w14:textId="77777777" w:rsidR="006F63EE" w:rsidRPr="006F63EE" w:rsidRDefault="006F63EE" w:rsidP="00C7028E">
            <w:pPr>
              <w:spacing w:line="360" w:lineRule="auto"/>
              <w:jc w:val="center"/>
              <w:rPr>
                <w:rFonts w:asciiTheme="minorHAnsi" w:hAnsiTheme="minorHAnsi" w:cstheme="minorHAnsi"/>
                <w:b/>
                <w:sz w:val="24"/>
                <w:szCs w:val="24"/>
              </w:rPr>
            </w:pPr>
            <w:r w:rsidRPr="006F63EE">
              <w:rPr>
                <w:rFonts w:asciiTheme="minorHAnsi" w:hAnsiTheme="minorHAnsi" w:cstheme="minorHAnsi"/>
                <w:b/>
                <w:sz w:val="24"/>
                <w:szCs w:val="24"/>
              </w:rPr>
              <w:t>CONTESTAÇÃO</w:t>
            </w:r>
          </w:p>
        </w:tc>
      </w:tr>
    </w:tbl>
    <w:p w14:paraId="0711CD9F" w14:textId="77777777" w:rsidR="006F63EE" w:rsidRPr="006F63EE" w:rsidRDefault="006F63EE" w:rsidP="006F63EE">
      <w:pPr>
        <w:ind w:firstLine="3402"/>
        <w:jc w:val="both"/>
        <w:rPr>
          <w:rFonts w:asciiTheme="minorHAnsi" w:hAnsiTheme="minorHAnsi" w:cstheme="minorHAnsi"/>
          <w:b/>
          <w:sz w:val="24"/>
          <w:szCs w:val="24"/>
        </w:rPr>
      </w:pPr>
    </w:p>
    <w:p w14:paraId="510A03D5" w14:textId="77777777" w:rsidR="006F63EE" w:rsidRPr="006F63EE" w:rsidRDefault="006F63EE"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à peça vestibular, o fazendo pelos motivos de fato e razões de direito que a seguir passa a expor.</w:t>
      </w:r>
    </w:p>
    <w:p w14:paraId="3929C59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612955AE"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7AA37737"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59DFA11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185AA35B"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513FA22"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841EFA1" w14:textId="77777777" w:rsidR="006F63EE" w:rsidRPr="006F63EE" w:rsidRDefault="006F63EE" w:rsidP="006F63EE">
      <w:pPr>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6824EE86" w14:textId="77777777" w:rsidTr="00C7028E">
        <w:trPr>
          <w:jc w:val="center"/>
        </w:trPr>
        <w:tc>
          <w:tcPr>
            <w:tcW w:w="8778" w:type="dxa"/>
            <w:shd w:val="clear" w:color="auto" w:fill="FFFFFF" w:themeFill="background1"/>
            <w:vAlign w:val="center"/>
          </w:tcPr>
          <w:p w14:paraId="6492A085"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BREVE RELATO DA EXORDIAL</w:t>
            </w:r>
          </w:p>
        </w:tc>
      </w:tr>
    </w:tbl>
    <w:p w14:paraId="6BDF6D35" w14:textId="77777777" w:rsidR="006F63EE" w:rsidRPr="006F63EE" w:rsidRDefault="006F63EE" w:rsidP="006F63EE">
      <w:pPr>
        <w:tabs>
          <w:tab w:val="left" w:pos="2835"/>
        </w:tabs>
        <w:spacing w:line="360" w:lineRule="auto"/>
        <w:ind w:firstLine="567"/>
        <w:jc w:val="both"/>
        <w:rPr>
          <w:rFonts w:asciiTheme="minorHAnsi" w:hAnsiTheme="minorHAnsi" w:cstheme="minorHAnsi"/>
          <w:noProof/>
          <w:sz w:val="24"/>
          <w:szCs w:val="24"/>
        </w:rPr>
      </w:pPr>
    </w:p>
    <w:p w14:paraId="7783996C" w14:textId="7C32B977" w:rsidR="00125EE7"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Relata a requerente firmou contratos de </w:t>
      </w:r>
      <w:r w:rsidR="00125EE7">
        <w:rPr>
          <w:rFonts w:asciiTheme="minorHAnsi" w:hAnsiTheme="minorHAnsi" w:cstheme="minorHAnsi"/>
          <w:sz w:val="24"/>
          <w:szCs w:val="24"/>
        </w:rPr>
        <w:t xml:space="preserve">mútuo junto à CEF para aquisição de imóvel a ser construído por terceiros, cujo financiamento foi cadastrado sob o nº </w:t>
      </w:r>
      <w:r w:rsidR="000F5E1D">
        <w:rPr>
          <w:rFonts w:asciiTheme="minorHAnsi" w:hAnsiTheme="minorHAnsi" w:cstheme="minorHAnsi"/>
          <w:sz w:val="24"/>
          <w:szCs w:val="24"/>
        </w:rPr>
        <w:t>855550256465-5</w:t>
      </w:r>
      <w:r w:rsidR="00125EE7">
        <w:rPr>
          <w:rFonts w:asciiTheme="minorHAnsi" w:hAnsiTheme="minorHAnsi" w:cstheme="minorHAnsi"/>
          <w:sz w:val="24"/>
          <w:szCs w:val="24"/>
        </w:rPr>
        <w:t>, contrato firmado em 07/</w:t>
      </w:r>
      <w:r w:rsidR="000F5E1D">
        <w:rPr>
          <w:rFonts w:asciiTheme="minorHAnsi" w:hAnsiTheme="minorHAnsi" w:cstheme="minorHAnsi"/>
          <w:sz w:val="24"/>
          <w:szCs w:val="24"/>
        </w:rPr>
        <w:t>06</w:t>
      </w:r>
      <w:r w:rsidR="00125EE7">
        <w:rPr>
          <w:rFonts w:asciiTheme="minorHAnsi" w:hAnsiTheme="minorHAnsi" w:cstheme="minorHAnsi"/>
          <w:sz w:val="24"/>
          <w:szCs w:val="24"/>
        </w:rPr>
        <w:t>/20</w:t>
      </w:r>
      <w:r w:rsidR="000F5E1D">
        <w:rPr>
          <w:rFonts w:asciiTheme="minorHAnsi" w:hAnsiTheme="minorHAnsi" w:cstheme="minorHAnsi"/>
          <w:sz w:val="24"/>
          <w:szCs w:val="24"/>
        </w:rPr>
        <w:t>10</w:t>
      </w:r>
      <w:r w:rsidR="00125EE7">
        <w:rPr>
          <w:rFonts w:asciiTheme="minorHAnsi" w:hAnsiTheme="minorHAnsi" w:cstheme="minorHAnsi"/>
          <w:sz w:val="24"/>
          <w:szCs w:val="24"/>
        </w:rPr>
        <w:t>.</w:t>
      </w:r>
    </w:p>
    <w:p w14:paraId="0593A5C5" w14:textId="3C3A7AD5" w:rsidR="006F63EE" w:rsidRDefault="00125EE7"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Ressalta-se que a parte autora quem procurou a CEF para celebração do contrato, o qual foi acertado por plena deliberação das partes, não havendo qualquer vício do consentimento que o anule. Convém destacar que a ocasião da assinatura do contrato, o imóvel que lhe fora objeto apresentou-se como garantia de Alienação Fiduciária.</w:t>
      </w:r>
    </w:p>
    <w:p w14:paraId="1AF19843" w14:textId="03C76A4F" w:rsidR="00125EE7" w:rsidRDefault="00125EE7"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 xml:space="preserve">Ocorre que por situações alheias ao contrato, que se ratifica não possuir qualquer </w:t>
      </w:r>
      <w:r w:rsidR="00831F9E">
        <w:rPr>
          <w:rFonts w:asciiTheme="minorHAnsi" w:hAnsiTheme="minorHAnsi" w:cstheme="minorHAnsi"/>
          <w:sz w:val="24"/>
          <w:szCs w:val="24"/>
        </w:rPr>
        <w:t>vício, a parte autora deixou de adimplir adequadamente com suas parcelas e busca o desfazimento do contrato sem que lhe sejam aplicadas as previsões do contrato.</w:t>
      </w:r>
    </w:p>
    <w:p w14:paraId="60E30E46" w14:textId="105ACAAF"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 xml:space="preserve">Ademais, a parte autora pretende – absurdamente – transferir à ré as consequências de sua falta de controle orçamentário. Ou seja, adquire um bem que sabidamente não teria condições de honrar e imputa culpa àquela instituição bancária que depositou confiança ao lhe disponibilizar o financiamento necessário à compra do imóvel. </w:t>
      </w:r>
    </w:p>
    <w:p w14:paraId="534CFD15" w14:textId="7F42DB5D"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É de se ressaltar que a parte autora aciona o Poder Judiciário como mero regulador administrativo, uma vez que a CEF em momento algum foi procurada na seara extrajudicial para que pudesse verificar alternativas à solução da problemática da parte autora. Carece, pois, de ação, sob o viés do Interesse de Agir (Necessidade).</w:t>
      </w:r>
    </w:p>
    <w:p w14:paraId="2256D895" w14:textId="5B81B6F3"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Por fim, pleiteia de modo desarrazoado indenização a título de danos morais, o que por certo não merece prosperar.</w:t>
      </w:r>
    </w:p>
    <w:p w14:paraId="34EB4C0D" w14:textId="77777777" w:rsidR="00831F9E" w:rsidRDefault="00831F9E" w:rsidP="00125EE7">
      <w:pPr>
        <w:tabs>
          <w:tab w:val="left" w:pos="4140"/>
        </w:tabs>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10847C04"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61CCC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DO DESINTERESSE EM AUDIÊNCIA DE CONCILIAÇÃO</w:t>
            </w:r>
          </w:p>
          <w:p w14:paraId="2FF9782F" w14:textId="77777777" w:rsidR="006F63EE" w:rsidRPr="006F63EE" w:rsidRDefault="006F63EE" w:rsidP="006F63EE">
            <w:pPr>
              <w:spacing w:line="360" w:lineRule="auto"/>
              <w:ind w:firstLine="567"/>
              <w:jc w:val="both"/>
              <w:rPr>
                <w:rFonts w:asciiTheme="minorHAnsi" w:eastAsia="Times New Roman" w:hAnsiTheme="minorHAnsi" w:cstheme="minorHAnsi"/>
                <w:b/>
                <w:spacing w:val="10"/>
                <w:sz w:val="24"/>
                <w:szCs w:val="24"/>
              </w:rPr>
            </w:pPr>
          </w:p>
        </w:tc>
      </w:tr>
    </w:tbl>
    <w:p w14:paraId="4596703B"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375C6BEA" w14:textId="77777777" w:rsid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A presente ação, infelizmente, trata de objeto no qual a CAIXA não possui política de acordo, razão pela qual vem manifestar seu </w:t>
      </w:r>
      <w:r w:rsidRPr="006F63EE">
        <w:rPr>
          <w:rFonts w:asciiTheme="minorHAnsi" w:hAnsiTheme="minorHAnsi" w:cstheme="minorHAnsi"/>
          <w:b/>
          <w:bCs/>
          <w:sz w:val="24"/>
          <w:szCs w:val="24"/>
        </w:rPr>
        <w:t>desinteresse na composição consensual, bem como na realização de audiência</w:t>
      </w:r>
      <w:r w:rsidRPr="006F63EE">
        <w:rPr>
          <w:rFonts w:asciiTheme="minorHAnsi" w:hAnsiTheme="minorHAnsi" w:cstheme="minorHAnsi"/>
          <w:sz w:val="24"/>
          <w:szCs w:val="24"/>
        </w:rPr>
        <w:t xml:space="preserve"> para tal, requerendo-se, desde já, o cancelamento de eventual audiência conciliatória, em obediência ao princípio da economia processual.</w:t>
      </w:r>
    </w:p>
    <w:p w14:paraId="52DCBA1F" w14:textId="77777777" w:rsidR="00831F9E" w:rsidRPr="006F63EE" w:rsidRDefault="00831F9E" w:rsidP="006F63EE">
      <w:pPr>
        <w:tabs>
          <w:tab w:val="left" w:pos="4140"/>
        </w:tabs>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06DD391E"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04ED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 xml:space="preserve">DA ELUCIDAÇÃO DOS FATOS </w:t>
            </w:r>
          </w:p>
        </w:tc>
      </w:tr>
    </w:tbl>
    <w:p w14:paraId="6FE4F16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C8EBB33" w14:textId="232B8372" w:rsidR="00831F9E" w:rsidRDefault="006F63EE" w:rsidP="00831F9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Destacamos que a operaç</w:t>
      </w:r>
      <w:r w:rsidR="00831F9E">
        <w:rPr>
          <w:rFonts w:asciiTheme="minorHAnsi" w:hAnsiTheme="minorHAnsi" w:cstheme="minorHAnsi"/>
          <w:noProof/>
          <w:sz w:val="24"/>
          <w:szCs w:val="24"/>
        </w:rPr>
        <w:t>ão</w:t>
      </w:r>
      <w:r w:rsidRPr="006F63EE">
        <w:rPr>
          <w:rFonts w:asciiTheme="minorHAnsi" w:hAnsiTheme="minorHAnsi" w:cstheme="minorHAnsi"/>
          <w:noProof/>
          <w:sz w:val="24"/>
          <w:szCs w:val="24"/>
        </w:rPr>
        <w:t xml:space="preserve"> em referência consiste</w:t>
      </w:r>
      <w:r w:rsidR="00831F9E">
        <w:rPr>
          <w:rFonts w:asciiTheme="minorHAnsi" w:hAnsiTheme="minorHAnsi" w:cstheme="minorHAnsi"/>
          <w:noProof/>
          <w:sz w:val="24"/>
          <w:szCs w:val="24"/>
        </w:rPr>
        <w:t xml:space="preserve"> em contrato habitacional, cujo valor de financiamento é de R$ </w:t>
      </w:r>
      <w:r w:rsidR="000F5E1D">
        <w:rPr>
          <w:rFonts w:asciiTheme="minorHAnsi" w:hAnsiTheme="minorHAnsi" w:cstheme="minorHAnsi"/>
          <w:noProof/>
          <w:sz w:val="24"/>
          <w:szCs w:val="24"/>
        </w:rPr>
        <w:t>80</w:t>
      </w:r>
      <w:r w:rsidR="00831F9E">
        <w:rPr>
          <w:rFonts w:asciiTheme="minorHAnsi" w:hAnsiTheme="minorHAnsi" w:cstheme="minorHAnsi"/>
          <w:noProof/>
          <w:sz w:val="24"/>
          <w:szCs w:val="24"/>
        </w:rPr>
        <w:t>.</w:t>
      </w:r>
      <w:r w:rsidR="000F5E1D">
        <w:rPr>
          <w:rFonts w:asciiTheme="minorHAnsi" w:hAnsiTheme="minorHAnsi" w:cstheme="minorHAnsi"/>
          <w:noProof/>
          <w:sz w:val="24"/>
          <w:szCs w:val="24"/>
        </w:rPr>
        <w:t>000,00</w:t>
      </w:r>
      <w:r w:rsidR="00831F9E">
        <w:rPr>
          <w:rFonts w:asciiTheme="minorHAnsi" w:hAnsiTheme="minorHAnsi" w:cstheme="minorHAnsi"/>
          <w:noProof/>
          <w:sz w:val="24"/>
          <w:szCs w:val="24"/>
        </w:rPr>
        <w:t xml:space="preserve">, sendo como garantia de Alienação Fiduciária o imóvel situado à </w:t>
      </w:r>
      <w:r w:rsidR="000F5E1D" w:rsidRPr="000F5E1D">
        <w:rPr>
          <w:rFonts w:asciiTheme="minorHAnsi" w:hAnsiTheme="minorHAnsi" w:cstheme="minorHAnsi"/>
          <w:noProof/>
          <w:sz w:val="24"/>
          <w:szCs w:val="24"/>
        </w:rPr>
        <w:t>Av. Major Carlos Pinto 726, Bloco A, como se vê no R.5 da matrícula 60.734 do Registro de Imóveis do Rio Grande</w:t>
      </w:r>
      <w:r w:rsidR="00831F9E">
        <w:rPr>
          <w:rFonts w:asciiTheme="minorHAnsi" w:hAnsiTheme="minorHAnsi" w:cstheme="minorHAnsi"/>
          <w:noProof/>
          <w:sz w:val="24"/>
          <w:szCs w:val="24"/>
        </w:rPr>
        <w:t>.</w:t>
      </w:r>
    </w:p>
    <w:p w14:paraId="7B5B1818" w14:textId="77777777" w:rsidR="00831F9E" w:rsidRDefault="00831F9E" w:rsidP="00831F9E">
      <w:pPr>
        <w:tabs>
          <w:tab w:val="left" w:pos="4140"/>
        </w:tabs>
        <w:spacing w:line="360" w:lineRule="auto"/>
        <w:ind w:firstLine="567"/>
        <w:jc w:val="both"/>
        <w:rPr>
          <w:rFonts w:asciiTheme="minorHAnsi" w:hAnsiTheme="minorHAnsi" w:cstheme="minorHAnsi"/>
          <w:noProof/>
          <w:sz w:val="24"/>
          <w:szCs w:val="24"/>
        </w:rPr>
      </w:pPr>
    </w:p>
    <w:p w14:paraId="364C1CA5" w14:textId="6B814D48" w:rsidR="00831F9E" w:rsidRPr="00831F9E" w:rsidRDefault="00831F9E" w:rsidP="00831F9E">
      <w:pPr>
        <w:tabs>
          <w:tab w:val="left" w:pos="4140"/>
        </w:tabs>
        <w:spacing w:line="360" w:lineRule="auto"/>
        <w:ind w:firstLine="567"/>
        <w:jc w:val="both"/>
        <w:rPr>
          <w:rFonts w:asciiTheme="minorHAnsi" w:hAnsiTheme="minorHAnsi" w:cstheme="minorHAnsi"/>
          <w:noProof/>
          <w:sz w:val="24"/>
          <w:szCs w:val="24"/>
        </w:rPr>
      </w:pPr>
      <w:r w:rsidRPr="00831F9E">
        <w:rPr>
          <w:rFonts w:asciiTheme="minorHAnsi" w:hAnsiTheme="minorHAnsi" w:cstheme="minorHAnsi"/>
          <w:noProof/>
          <w:sz w:val="24"/>
          <w:szCs w:val="24"/>
        </w:rPr>
        <w:t xml:space="preserve">Não é plausível conceber que deva ser transferido à </w:t>
      </w:r>
      <w:r>
        <w:rPr>
          <w:rFonts w:asciiTheme="minorHAnsi" w:hAnsiTheme="minorHAnsi" w:cstheme="minorHAnsi"/>
          <w:noProof/>
          <w:sz w:val="24"/>
          <w:szCs w:val="24"/>
        </w:rPr>
        <w:t>CAIXA</w:t>
      </w:r>
      <w:r w:rsidRPr="00831F9E">
        <w:rPr>
          <w:rFonts w:asciiTheme="minorHAnsi" w:hAnsiTheme="minorHAnsi" w:cstheme="minorHAnsi"/>
          <w:noProof/>
          <w:sz w:val="24"/>
          <w:szCs w:val="24"/>
        </w:rPr>
        <w:t xml:space="preserve"> </w:t>
      </w:r>
      <w:r>
        <w:rPr>
          <w:rFonts w:asciiTheme="minorHAnsi" w:hAnsiTheme="minorHAnsi" w:cstheme="minorHAnsi"/>
          <w:noProof/>
          <w:sz w:val="24"/>
          <w:szCs w:val="24"/>
        </w:rPr>
        <w:t>o descontrole financeiro e falta de provisionamento</w:t>
      </w:r>
      <w:r w:rsidRPr="00831F9E">
        <w:rPr>
          <w:rFonts w:asciiTheme="minorHAnsi" w:hAnsiTheme="minorHAnsi" w:cstheme="minorHAnsi"/>
          <w:noProof/>
          <w:sz w:val="24"/>
          <w:szCs w:val="24"/>
        </w:rPr>
        <w:t xml:space="preserve"> por irresponsabilidade da parte autora. Sabemos que o consumo consciente e educação financeira são pontos que merecem um amadurecimento de grande parte da população brasileira.</w:t>
      </w:r>
    </w:p>
    <w:p w14:paraId="368E00ED" w14:textId="20822AC2" w:rsidR="006F63EE" w:rsidRPr="006F63EE" w:rsidRDefault="00CD5C41" w:rsidP="006F63EE">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Assim, r</w:t>
      </w:r>
      <w:r w:rsidR="006F63EE" w:rsidRPr="006F63EE">
        <w:rPr>
          <w:rFonts w:asciiTheme="minorHAnsi" w:hAnsiTheme="minorHAnsi" w:cstheme="minorHAnsi"/>
          <w:sz w:val="24"/>
          <w:szCs w:val="24"/>
        </w:rPr>
        <w:t>esta devidamente demonstrado que a CAIXA agiu nos estritos termos da legislação que rege a matéria, bem como amparada contratualmente, inexistindo qualquer irregularidade em sua conduta.</w:t>
      </w:r>
    </w:p>
    <w:p w14:paraId="6465CFE0" w14:textId="77777777" w:rsidR="00CD5C41" w:rsidRPr="006F63EE" w:rsidRDefault="00CD5C41" w:rsidP="00CD5C4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CD5C41" w:rsidRPr="006F63EE" w14:paraId="50091975"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E4AE8D" w14:textId="427F1F58" w:rsidR="00CD5C41" w:rsidRPr="006F63EE" w:rsidRDefault="00CD5C41" w:rsidP="009E1A91">
            <w:pPr>
              <w:spacing w:line="360" w:lineRule="auto"/>
              <w:ind w:firstLine="567"/>
              <w:jc w:val="center"/>
              <w:rPr>
                <w:rFonts w:asciiTheme="minorHAnsi" w:hAnsiTheme="minorHAnsi" w:cstheme="minorHAnsi"/>
                <w:b/>
                <w:sz w:val="24"/>
                <w:szCs w:val="24"/>
              </w:rPr>
            </w:pPr>
            <w:r>
              <w:rPr>
                <w:rFonts w:asciiTheme="minorHAnsi" w:hAnsiTheme="minorHAnsi" w:cstheme="minorHAnsi"/>
                <w:b/>
                <w:sz w:val="24"/>
                <w:szCs w:val="24"/>
              </w:rPr>
              <w:t>PRELIMINARMENTE</w:t>
            </w:r>
          </w:p>
        </w:tc>
      </w:tr>
      <w:tr w:rsidR="00CD5C41" w:rsidRPr="006F63EE" w14:paraId="309096E1" w14:textId="77777777" w:rsidTr="009E1A91">
        <w:trPr>
          <w:jc w:val="center"/>
        </w:trPr>
        <w:tc>
          <w:tcPr>
            <w:tcW w:w="8778" w:type="dxa"/>
            <w:shd w:val="clear" w:color="auto" w:fill="FFFFFF" w:themeFill="background1"/>
            <w:vAlign w:val="center"/>
          </w:tcPr>
          <w:p w14:paraId="08228D3A" w14:textId="53D5BC3B" w:rsidR="00CD5C41" w:rsidRPr="00CD5C41" w:rsidRDefault="00CD5C41" w:rsidP="00CD5C41">
            <w:pPr>
              <w:tabs>
                <w:tab w:val="left" w:pos="4140"/>
              </w:tabs>
              <w:spacing w:line="360" w:lineRule="auto"/>
              <w:ind w:firstLine="567"/>
              <w:jc w:val="both"/>
              <w:rPr>
                <w:rFonts w:asciiTheme="minorHAnsi" w:hAnsiTheme="minorHAnsi" w:cstheme="minorHAnsi"/>
                <w:b/>
                <w:bCs/>
                <w:noProof/>
                <w:sz w:val="24"/>
                <w:szCs w:val="24"/>
                <w:u w:val="single"/>
              </w:rPr>
            </w:pPr>
            <w:r w:rsidRPr="00CD5C41">
              <w:rPr>
                <w:rFonts w:asciiTheme="minorHAnsi" w:hAnsiTheme="minorHAnsi" w:cstheme="minorHAnsi"/>
                <w:b/>
                <w:bCs/>
                <w:noProof/>
                <w:sz w:val="24"/>
                <w:szCs w:val="24"/>
                <w:u w:val="single"/>
              </w:rPr>
              <w:t>DA AUSÊNCIA DE INTERESSE DE AGIR PELO VIÉS DA NECESSIDADE</w:t>
            </w:r>
            <w:r>
              <w:rPr>
                <w:rFonts w:asciiTheme="minorHAnsi" w:hAnsiTheme="minorHAnsi" w:cstheme="minorHAnsi"/>
                <w:b/>
                <w:bCs/>
                <w:noProof/>
                <w:sz w:val="24"/>
                <w:szCs w:val="24"/>
                <w:u w:val="single"/>
              </w:rPr>
              <w:t xml:space="preserve"> - </w:t>
            </w:r>
            <w:r w:rsidRPr="00CD5C41">
              <w:rPr>
                <w:rFonts w:asciiTheme="minorHAnsi" w:hAnsiTheme="minorHAnsi" w:cstheme="minorHAnsi"/>
                <w:b/>
                <w:bCs/>
                <w:noProof/>
                <w:sz w:val="24"/>
                <w:szCs w:val="24"/>
                <w:u w:val="single"/>
              </w:rPr>
              <w:t>DO ENTENDIMENTO DO STF EM REPERCUSSÃO GERAL</w:t>
            </w:r>
          </w:p>
        </w:tc>
      </w:tr>
    </w:tbl>
    <w:p w14:paraId="69FCBF3E"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4CA8B75E"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É de conhecimento comum que a existência de um litígio se caracteriza por uma pretensão resistida a um direito. Destarte, a função jurisdicional se exercerá com referência a uma lide que a parte interessada deduz do Estado, pedindo uma solução.</w:t>
      </w:r>
    </w:p>
    <w:p w14:paraId="7F8F7A92"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E5E22AF"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C655FED" w14:textId="17946C62"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Ocorre que no caso trazido à baila, não houve lesão ou ameaça de lesão ao direito da parte autora que justifique o descarte de uma solução extrajudicial, propondo a presente demanda num flagrante abuso ao direito de ação.</w:t>
      </w:r>
    </w:p>
    <w:p w14:paraId="181DE476"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4DD242C8" w14:textId="340E9ACF"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lastRenderedPageBreak/>
        <w:t>Assim sendo, nada obstante a Constituição Federal ter como um dos seus princípios, exposto no art. 5º, XXXV, a inafastabilidade da jurisdição, reforçado ainda pelo Diploma Processual Civil em seu art. 3º, deve o mesmo ser ponderado num cotejo mais amplo, como o é todo o direito. Merece, portanto, aludido princípio constitucional ser sopesado, junto a outros, como economicidade e eficiência.</w:t>
      </w:r>
    </w:p>
    <w:p w14:paraId="1658CA2D"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750D9D1" w14:textId="2F55BB4F"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Neste sentido está o esclarecedor e divisor de águas sobre a discussão que se propõe (condição para regular exercício direito de ação), Recurso Extraordinário 631.240 (MG), 28/08/2014, senão vejamos:</w:t>
      </w:r>
    </w:p>
    <w:p w14:paraId="23C10CFB"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401BBBCC"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t>Ementa: RECURSO EXTRAORDINÁRIO. REPERCUSSÃO GERAL.</w:t>
      </w:r>
    </w:p>
    <w:p w14:paraId="030046F2" w14:textId="77777777" w:rsidR="00CD5C41" w:rsidRPr="00CD5C41" w:rsidRDefault="00CD5C41" w:rsidP="00CD5C41">
      <w:pPr>
        <w:tabs>
          <w:tab w:val="left" w:pos="4140"/>
        </w:tabs>
        <w:spacing w:line="360" w:lineRule="auto"/>
        <w:ind w:left="2268"/>
        <w:jc w:val="both"/>
        <w:rPr>
          <w:rFonts w:asciiTheme="minorHAnsi" w:hAnsiTheme="minorHAnsi" w:cstheme="minorHAnsi"/>
          <w:b/>
          <w:bCs/>
          <w:noProof/>
          <w:sz w:val="24"/>
          <w:szCs w:val="24"/>
        </w:rPr>
      </w:pPr>
      <w:r w:rsidRPr="00CD5C41">
        <w:rPr>
          <w:rFonts w:asciiTheme="minorHAnsi" w:hAnsiTheme="minorHAnsi" w:cstheme="minorHAnsi"/>
          <w:b/>
          <w:bCs/>
          <w:noProof/>
          <w:sz w:val="24"/>
          <w:szCs w:val="24"/>
        </w:rPr>
        <w:t>PRÉVIO REQUERIMENTO ADMINISTRATIVO E INTERESSE EM AGIR.</w:t>
      </w:r>
    </w:p>
    <w:p w14:paraId="3CAE707B" w14:textId="77777777" w:rsidR="00CD5C41" w:rsidRPr="00CD5C41" w:rsidRDefault="00CD5C41" w:rsidP="00CD5C41">
      <w:pPr>
        <w:tabs>
          <w:tab w:val="left" w:pos="4140"/>
        </w:tabs>
        <w:spacing w:line="360" w:lineRule="auto"/>
        <w:ind w:left="2268"/>
        <w:jc w:val="both"/>
        <w:rPr>
          <w:rFonts w:asciiTheme="minorHAnsi" w:hAnsiTheme="minorHAnsi" w:cstheme="minorHAnsi"/>
          <w:b/>
          <w:bCs/>
          <w:noProof/>
          <w:sz w:val="24"/>
          <w:szCs w:val="24"/>
        </w:rPr>
      </w:pPr>
      <w:r w:rsidRPr="00CD5C41">
        <w:rPr>
          <w:rFonts w:asciiTheme="minorHAnsi" w:hAnsiTheme="minorHAnsi" w:cstheme="minorHAnsi"/>
          <w:b/>
          <w:bCs/>
          <w:noProof/>
          <w:sz w:val="24"/>
          <w:szCs w:val="24"/>
        </w:rPr>
        <w:t>1. A instituição de condições para o regular exercício do direito de ação é compatível com o art. 5º, XXXV, da Constituição. Para se caracterizar a presença de interesse em agir, é preciso haver necessidade de ir a juízo.</w:t>
      </w:r>
    </w:p>
    <w:p w14:paraId="0B1DEBDE"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b/>
          <w:bCs/>
          <w:noProof/>
          <w:sz w:val="24"/>
          <w:szCs w:val="24"/>
        </w:rPr>
        <w:t>2. A concessão de benefícios previdenciários depende de requerimento do interessado, não se caracterizando ameaça ou lesão a direito antes de sua apreciação e indeferimento pelo INSS</w:t>
      </w:r>
      <w:r w:rsidRPr="00CD5C41">
        <w:rPr>
          <w:rFonts w:asciiTheme="minorHAnsi" w:hAnsiTheme="minorHAnsi" w:cstheme="minorHAnsi"/>
          <w:noProof/>
          <w:sz w:val="24"/>
          <w:szCs w:val="24"/>
        </w:rPr>
        <w:t>, ou se excedido o prazo legal para sua análise. É bem de ver, no entanto, que a exigência de prévio requerimento não se confunde com o exaurimento das vias administrativas. (grifamos)</w:t>
      </w:r>
    </w:p>
    <w:p w14:paraId="15EE4B37"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71C82CDB"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ab/>
        <w:t>O julgado acima corrobora o entendimento da Corte Suprema que não deve o Poder Judiciário figurar como mero regulador administrativo em situações onde a normatização aplicável ao caso concreto – inclusive oriunda da própria Administração Pública – viabiliza meios administrativos para solução facilitada e menos onerosa a todos os envolvidos. Esse é o caso dos autos!</w:t>
      </w:r>
      <w:r w:rsidRPr="00CD5C41">
        <w:rPr>
          <w:rFonts w:asciiTheme="minorHAnsi" w:hAnsiTheme="minorHAnsi" w:cstheme="minorHAnsi"/>
          <w:noProof/>
          <w:sz w:val="24"/>
          <w:szCs w:val="24"/>
        </w:rPr>
        <w:tab/>
      </w:r>
    </w:p>
    <w:p w14:paraId="276DD063"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AE01F23" w14:textId="4F7CB59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Reitera-se que a parte autora EM MOMENTO ALGUM comprovou o requerimento necessário junto aos órgãos competentes, para que pudesse ser analisado seu pedido e, caso adequado, DEFERIDO. </w:t>
      </w:r>
    </w:p>
    <w:p w14:paraId="43174BE5"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FC76349" w14:textId="7E4EED1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lastRenderedPageBreak/>
        <w:t>Ademais, tampouco a CAIXA foi formalmente procurada pela parte autora de posse dos documentos necessários ao abatimento requerido em juízo, a fim de que pudesse adotar medidas que dispensasse a propositura de ação judicial.</w:t>
      </w:r>
      <w:r w:rsidRPr="00CD5C41">
        <w:rPr>
          <w:rFonts w:asciiTheme="minorHAnsi" w:hAnsiTheme="minorHAnsi" w:cstheme="minorHAnsi"/>
          <w:noProof/>
          <w:sz w:val="24"/>
          <w:szCs w:val="24"/>
        </w:rPr>
        <w:tab/>
      </w:r>
      <w:r w:rsidRPr="00CD5C41">
        <w:rPr>
          <w:rFonts w:asciiTheme="minorHAnsi" w:hAnsiTheme="minorHAnsi" w:cstheme="minorHAnsi"/>
          <w:noProof/>
          <w:sz w:val="24"/>
          <w:szCs w:val="24"/>
        </w:rPr>
        <w:br/>
      </w:r>
    </w:p>
    <w:p w14:paraId="4F38D238" w14:textId="34EA9500"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Na mesma esteira, também é curial o entendimento desse E. Tribunal de Justiça em caso análogo, com idêntica discussão de cunho processual, que segue abaixo de forma elucidativa:</w:t>
      </w:r>
    </w:p>
    <w:p w14:paraId="51E57AFF"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br/>
        <w:t>Apelação Cível nº 0012280-44.2018.8.19.0203. Desembargador: Luiz Henrique Oliveira Marques. Data: 11/07/2022.</w:t>
      </w:r>
    </w:p>
    <w:p w14:paraId="6BAC5B81"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APELAÇÃO CÍVEL. AÇÃO DE COBRANÇA. SEGURO DPVAT. SENTENÇA DE PARCIAL PROCEDÊNCIA. APELAÇÃO DA RÉ. HONORÁRIOS PERICIAIS. FIXAÇÃO DE VALOR EM CONFORMIDADE COM A SÚMULA 361. ACIDENTE DE VEÍCULO QUE RESULTOU EM INCAPACIDADE PARCIAL PERMANENTE. APLICAÇÃO DA LEI 6.194/1974, ATUALIZADA PELAS LEIS 8.441/92 11.482/07 E 11.945/09. PERCENTUAL DE INVALIDEZ, APURADO ATRAVÉS DE PRODUÇÃO DE PROVA PERICIAL. </w:t>
      </w:r>
      <w:r w:rsidRPr="00CD5C41">
        <w:rPr>
          <w:rFonts w:asciiTheme="minorHAnsi" w:hAnsiTheme="minorHAnsi" w:cstheme="minorHAnsi"/>
          <w:b/>
          <w:bCs/>
          <w:noProof/>
          <w:sz w:val="24"/>
          <w:szCs w:val="24"/>
        </w:rPr>
        <w:t>AUSÊNCIA DE COMPROVAÇÃO DE PRETENSÃO RESISTIDA NA ESFERA ADMINISTRATIVA. FALTA DE INTERESSE DE AGIR. REFORMA DA SENTENÇA QUE SE IMPÕE PARA EXTINGUIR A AÇÃO SEM RESOLUÇÃO DO MÉRITO, NA FORMA DO ARTIGO 485, VI DO NCPC. ORIENTAÇÃO DO STF SOBRE O TEMA, EM SEDE DE REPERCUSSÃO GERAL, NO SENTIDO DE SER NECESSÁRIO O PRÉVIO REQUERIMENTO OU A NEGATIVA DA PRETENSÃO, NÃO HAVENDO VIOLAÇÃO AO PRINCÍPIO DA INAFASTABILIDADE DA JURISDIÇÃO. TEMA 350: PRÉVIO REQUERIMENTO ADMINISTRATIVO COMO CONDIÇÃO PARA O ACESSO AO JUDICIÁRIO. O STF, ATRAVÉS DO RE Nº 631.240 ASSENTOU, EM SEDE DE REPERCUSSÃO GERAL, ORIENTAÇÃO NO SENTIDO DE QUE A AUSÊNCIA DE REQUERIMENTO ADMINISTRATIVO PRÉVIO IMPLICA AUSÊNCIA DE INTERESSE DE AGIR. NO MENCIONADO JULGADO TAMBÉM RESTOU PACIFICADO QUE A INSTITUIÇÃO DE CONDIÇÕES PARA REGULAR EXERCÍCIO DA AÇÃO NÃO VIOLA O PRINCÍPIO DA TUTELA JURISDICIONAL. SÚMULA Nº 232 DO TJRJ. RECURSO A QUE SE DÁ PROVIMENTO</w:t>
      </w:r>
    </w:p>
    <w:p w14:paraId="4E3F6005"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705378E7" w14:textId="12DC1AF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Destaca-se que não se pretende aqui sugerir que deverá o autor exaurir todas as possibilidades de impugnação administrativa para recorrer ao Judiciário. Todavia, situações comezinhas e que encontram </w:t>
      </w:r>
      <w:r w:rsidRPr="00CD5C41">
        <w:rPr>
          <w:rFonts w:asciiTheme="minorHAnsi" w:hAnsiTheme="minorHAnsi" w:cstheme="minorHAnsi"/>
          <w:noProof/>
          <w:sz w:val="24"/>
          <w:szCs w:val="24"/>
        </w:rPr>
        <w:lastRenderedPageBreak/>
        <w:t>previsão de solução na seara administrativa, devem passar por esse crivo, antes de recorrerem a uma solução em juízo, vez que não resta configurada a lesão ou ameaça de lesão a direito antes de sua apreciação e indeferimento pela CEF.</w:t>
      </w:r>
    </w:p>
    <w:p w14:paraId="4D5234FF"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5C7F6DF" w14:textId="210337E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Certo é que o interesse de agir resta configurado quando presente o trinômio: Necessidade; Utilidade e Adequação. Ocorre que nesta demanda inexiste a necessidade da parte ingressar em juízo sem que previamente tenha buscado uma solução administrativa que lhe é disponibilizada por direito. Isso porque, a dita necessidade é a demonstração que a atuação do Estado-Juiz é imprescindível. </w:t>
      </w:r>
    </w:p>
    <w:p w14:paraId="7124CF29" w14:textId="44A5A75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Entretanto, não há nos autos demonstração de que foi resistida a pretensão formulada junto à CAIXA na seara extrajudicial, nem mesmo junto aos órgãos competentes, aos quais sequer foi oportunizada a análise do requerimento, conforme determina a normatização aplicável ao caso </w:t>
      </w:r>
      <w:r w:rsidRPr="00CD5C41">
        <w:rPr>
          <w:rFonts w:asciiTheme="minorHAnsi" w:hAnsiTheme="minorHAnsi" w:cstheme="minorHAnsi"/>
          <w:i/>
          <w:iCs/>
          <w:noProof/>
          <w:sz w:val="24"/>
          <w:szCs w:val="24"/>
        </w:rPr>
        <w:t>in voga</w:t>
      </w:r>
      <w:r w:rsidRPr="00CD5C41">
        <w:rPr>
          <w:rFonts w:asciiTheme="minorHAnsi" w:hAnsiTheme="minorHAnsi" w:cstheme="minorHAnsi"/>
          <w:noProof/>
          <w:sz w:val="24"/>
          <w:szCs w:val="24"/>
        </w:rPr>
        <w:t>, sendo a extinção do feito sem resolução de mérito, nos termos do art. 485, VI, CPC, desfecho adequado à presente demanda, através do acolhimento deste recurso inominado.</w:t>
      </w:r>
    </w:p>
    <w:p w14:paraId="30D19BBF" w14:textId="77777777" w:rsidR="00CD5C41" w:rsidRPr="006F63EE" w:rsidRDefault="00CD5C4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6E68F76"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DA1F11"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MÉRITO</w:t>
            </w:r>
          </w:p>
        </w:tc>
      </w:tr>
      <w:tr w:rsidR="006F63EE" w:rsidRPr="006F63EE" w14:paraId="6D15F9F7" w14:textId="77777777" w:rsidTr="00C7028E">
        <w:trPr>
          <w:jc w:val="center"/>
        </w:trPr>
        <w:tc>
          <w:tcPr>
            <w:tcW w:w="8778" w:type="dxa"/>
            <w:shd w:val="clear" w:color="auto" w:fill="FFFFFF" w:themeFill="background1"/>
            <w:vAlign w:val="center"/>
          </w:tcPr>
          <w:p w14:paraId="2C55A7E0"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VALIDADE CONTRATUAL</w:t>
            </w:r>
          </w:p>
        </w:tc>
      </w:tr>
    </w:tbl>
    <w:p w14:paraId="7F235E6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top w:val="dotted" w:sz="4" w:space="0" w:color="auto"/>
          <w:left w:val="none" w:sz="0" w:space="0" w:color="auto"/>
          <w:bottom w:val="dotted" w:sz="4"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778"/>
      </w:tblGrid>
      <w:tr w:rsidR="006F63EE" w:rsidRPr="006F63EE" w14:paraId="40EC662D" w14:textId="77777777" w:rsidTr="00C7028E">
        <w:trPr>
          <w:trHeight w:val="170"/>
          <w:jc w:val="center"/>
        </w:trPr>
        <w:tc>
          <w:tcPr>
            <w:tcW w:w="8778" w:type="dxa"/>
            <w:shd w:val="clear" w:color="auto" w:fill="FFFFFF" w:themeFill="background1"/>
            <w:vAlign w:val="center"/>
          </w:tcPr>
          <w:p w14:paraId="0AE9A85B"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LIVRE ADESÃO</w:t>
            </w:r>
          </w:p>
        </w:tc>
      </w:tr>
    </w:tbl>
    <w:p w14:paraId="4818B24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67B1C49" w14:textId="1A86C8CC"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Deve-se frisar que jamais houve qualquer ato de coação para com a parte autora, que </w:t>
      </w:r>
      <w:r w:rsidRPr="006F63EE">
        <w:rPr>
          <w:rFonts w:asciiTheme="minorHAnsi" w:hAnsiTheme="minorHAnsi" w:cstheme="minorHAnsi"/>
          <w:b/>
          <w:noProof/>
          <w:sz w:val="24"/>
          <w:szCs w:val="24"/>
        </w:rPr>
        <w:t xml:space="preserve">assinou os contratos de </w:t>
      </w:r>
      <w:r w:rsidR="00CD5C41">
        <w:rPr>
          <w:rFonts w:asciiTheme="minorHAnsi" w:hAnsiTheme="minorHAnsi" w:cstheme="minorHAnsi"/>
          <w:b/>
          <w:noProof/>
          <w:sz w:val="24"/>
          <w:szCs w:val="24"/>
        </w:rPr>
        <w:t>mútuo</w:t>
      </w:r>
      <w:r w:rsidRPr="006F63EE">
        <w:rPr>
          <w:rFonts w:asciiTheme="minorHAnsi" w:hAnsiTheme="minorHAnsi" w:cstheme="minorHAnsi"/>
          <w:b/>
          <w:noProof/>
          <w:sz w:val="24"/>
          <w:szCs w:val="24"/>
        </w:rPr>
        <w:t xml:space="preserve"> por livre e expontânea vontade</w:t>
      </w:r>
      <w:r w:rsidRPr="006F63EE">
        <w:rPr>
          <w:rFonts w:asciiTheme="minorHAnsi" w:hAnsiTheme="minorHAnsi" w:cstheme="minorHAnsi"/>
          <w:noProof/>
          <w:sz w:val="24"/>
          <w:szCs w:val="24"/>
        </w:rPr>
        <w:t>.</w:t>
      </w:r>
    </w:p>
    <w:p w14:paraId="6BF910F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D0C6B55"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Ao aderir ao pacto, aprovou o cálculo de juros e demais encargos que seriam elaborados de acordo com cláusulas e condições expressamente pactuadas. Nada restou incerto; tudo foi precisamente fixado.</w:t>
      </w:r>
    </w:p>
    <w:p w14:paraId="707E7E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FB8D70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Nas disposições contratuais, a parte autora teve amplo conhecimento, de sorte que não se encontrava ao alvedrio da CAIXA a implementação de condições às quais não tivesse anuído.</w:t>
      </w:r>
    </w:p>
    <w:p w14:paraId="311E263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AE1EA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Assim, tem-se que o contrato perfez-se, em respeito ao princípio do consensualismo peculiar e imprescindível às avenças, de maneira que,</w:t>
      </w:r>
    </w:p>
    <w:p w14:paraId="6EDA7F0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ofertando a CAIXA as condições sob as quais o pacto desenvolver-se-ia, a parte demandante poderia optar por anuir a elas ou não. </w:t>
      </w:r>
    </w:p>
    <w:p w14:paraId="4F47F65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6C2A73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4495147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63ED0E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Ademais, o simples fato de o contrato ser de “adesão” não significa que ele tenha sido imposto à parte demandante, visto que suas condições essenciais, tais como os valores, os prazos e as taxas de juros foram negociadas, convencionadas e, ato contínuo, digitadas nos campos em claro dos respectivos instrumentos. Aliás, isto é comum nos contratos bancários que em verdade não são contratos de “adesão”, mas sim contratos “por adesão” às cláusulas acessórias.</w:t>
      </w:r>
    </w:p>
    <w:p w14:paraId="52E106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Desde o início, a parte autora negociou gozando da plenitude de sua liberdade de contratar, tendo ciência do que estava contratando e de como se desenvolveria o contrato, tendo recebido cópia daquele.</w:t>
      </w:r>
    </w:p>
    <w:p w14:paraId="1DB71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3352E7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Tem-se como inverossímil, portanto, qualquer alegação de que as condições contratuais essenciais são impostas abusiva e unilateralmete pela ré, assim, nessas circunstâncias, a atuação do Poder Judiciário sobre a vontade pactuada das partes se limita a verificar se o acordado afronta a lei e/ou os costumes, isto é, a conferir se as condições são lícitas (art 122 do Código Civil).</w:t>
      </w:r>
    </w:p>
    <w:p w14:paraId="7A455E2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239075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Sob este prisma é que a questão deve ser analisada, vez que os contratos de adesão são hoje admitidos até mesmo pelo Código de Defesa do Consumidor, que apenas obrigou a que as cláusulas que implicarem limitações de direito fossem destacadas.</w:t>
      </w:r>
    </w:p>
    <w:p w14:paraId="213666B1"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AC45B6F" w14:textId="77777777" w:rsidR="00CC7E06" w:rsidRDefault="00CC7E06" w:rsidP="006F63EE">
      <w:pPr>
        <w:tabs>
          <w:tab w:val="left" w:pos="4140"/>
        </w:tabs>
        <w:spacing w:line="360" w:lineRule="auto"/>
        <w:ind w:firstLine="567"/>
        <w:jc w:val="both"/>
        <w:rPr>
          <w:rFonts w:asciiTheme="minorHAnsi" w:hAnsiTheme="minorHAnsi" w:cstheme="minorHAnsi"/>
          <w:noProof/>
          <w:sz w:val="24"/>
          <w:szCs w:val="24"/>
        </w:rPr>
      </w:pPr>
    </w:p>
    <w:p w14:paraId="31360DDA" w14:textId="77777777" w:rsidR="00CC7E06" w:rsidRDefault="00CC7E06" w:rsidP="006F63EE">
      <w:pPr>
        <w:tabs>
          <w:tab w:val="left" w:pos="4140"/>
        </w:tabs>
        <w:spacing w:line="360" w:lineRule="auto"/>
        <w:ind w:firstLine="567"/>
        <w:jc w:val="both"/>
        <w:rPr>
          <w:rFonts w:asciiTheme="minorHAnsi" w:hAnsiTheme="minorHAnsi" w:cstheme="minorHAnsi"/>
          <w:noProof/>
          <w:sz w:val="24"/>
          <w:szCs w:val="24"/>
        </w:rPr>
      </w:pPr>
    </w:p>
    <w:p w14:paraId="7739D526" w14:textId="77777777" w:rsidR="00CC7E06" w:rsidRPr="006F63EE" w:rsidRDefault="00CC7E06"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238DDBD4"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F0E52DE"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lastRenderedPageBreak/>
              <w:t>ATO JURÍDICO PERFEITO</w:t>
            </w:r>
          </w:p>
        </w:tc>
      </w:tr>
    </w:tbl>
    <w:p w14:paraId="14370AF1"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1EAB788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contrato firmado, como constituído, deve ser cumprido na forma como estabelecido, pois dotou-se de todos os elementos, requisitos e fatores necessários à sua completude, não sendo eivado de vícios ou defeitos que lhe desnature.</w:t>
      </w:r>
    </w:p>
    <w:p w14:paraId="333A7BC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AB3A6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É certo afirmar que a parte autora, ao assinar o contrato, aceitou e concordou com os negócios jurídicos sem quaisquer ressalvas. Dessa forma, completou-se suficiente e eficientemente o suporte fático do mesmo, o qual existe, é válido e plenamente eficaz.</w:t>
      </w:r>
    </w:p>
    <w:p w14:paraId="74EBD18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5D272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Afinal, a demandante livremente pactuou com a ré, tendo manifestado vontade de adquirir o crédito, tendo lido e assinado as cláusulas tal como estabelecidas, não tendo sido, por óbvio, coagida a receber o crédito.</w:t>
      </w:r>
    </w:p>
    <w:p w14:paraId="4579AAA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794BF3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Como leciona o ilustre professor português Mário Júlio de Almeida Costa: </w:t>
      </w:r>
    </w:p>
    <w:p w14:paraId="5078155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O instituto [contrato] é dominado pelo princípio da autonomia da vontade ou da liberdade negocial. (...)</w:t>
      </w:r>
    </w:p>
    <w:p w14:paraId="29D88B1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735BF5C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(COSTA, Mário Júlio de Almeida. Direito das Obrigações. Coimbra: Atlântida. 1968. pág. 98.)</w:t>
      </w:r>
    </w:p>
    <w:p w14:paraId="29F17F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A7F8A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é necessário refrear pretensões como as da parte requerente, pois, sem negar que deve, recusa-se a pagar a dívida integral, desrespeitando todas condições contratuais obrigacionais, fato esse que, se aceito, levará a sociedade contemporânea a um “estado anárquico”, onde restará oficializado o “calote”.</w:t>
      </w:r>
    </w:p>
    <w:p w14:paraId="36FBC1D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348296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lastRenderedPageBreak/>
        <w:t>Desse modo, considerando que os contratos perfeitamente constituídos fazem lei entre as partes, e que a parte autora, exercendo a sua liberdade de contratar, tomou conhecimento, antecipadamente, de todos os seus termos, anuindo livre e prontamente, não existe respaldo legal para, após o seu inadimplemento, pretender discutir ato jurídico perfeito e acabado.</w:t>
      </w:r>
    </w:p>
    <w:p w14:paraId="326915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45D76F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contrato que deu causa à lide passou a ser, a partir de sua assinatura, fonte formal de direito, devendo ser respeitado por ambas as partes: </w:t>
      </w:r>
      <w:r w:rsidRPr="006F63EE">
        <w:rPr>
          <w:rFonts w:asciiTheme="minorHAnsi" w:hAnsiTheme="minorHAnsi" w:cstheme="minorHAnsi"/>
          <w:i/>
          <w:noProof/>
          <w:sz w:val="24"/>
          <w:szCs w:val="24"/>
        </w:rPr>
        <w:t>pacta sunt servanda</w:t>
      </w:r>
      <w:r w:rsidRPr="006F63EE">
        <w:rPr>
          <w:rFonts w:asciiTheme="minorHAnsi" w:hAnsiTheme="minorHAnsi" w:cstheme="minorHAnsi"/>
          <w:noProof/>
          <w:sz w:val="24"/>
          <w:szCs w:val="24"/>
        </w:rPr>
        <w:t>, incidindo, no caso, a regra do artigo 6º, da Lei de Introdução às Normas do Direito Brasileiro.</w:t>
      </w:r>
    </w:p>
    <w:p w14:paraId="10AA075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E7BEF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noProof/>
          <w:sz w:val="24"/>
          <w:szCs w:val="24"/>
        </w:rPr>
        <w:t xml:space="preserve">Portanto, totalmente </w:t>
      </w:r>
      <w:r w:rsidRPr="006F63EE">
        <w:rPr>
          <w:rFonts w:asciiTheme="minorHAnsi" w:hAnsiTheme="minorHAnsi" w:cstheme="minorHAnsi"/>
          <w:b/>
          <w:noProof/>
          <w:sz w:val="24"/>
          <w:szCs w:val="24"/>
        </w:rPr>
        <w:t xml:space="preserve">condenável a pretensão da parte autora, de desconsiderarem-se os explícitos termos do instrumento contratual, convertendo, com o beneplácito do Poder Judiciário, as suas bem definidas regras, em outras, que escolheria ao seu bel prazer. </w:t>
      </w:r>
    </w:p>
    <w:p w14:paraId="0695CBF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 outro lado, o contrato de adesão não nega a liberdade individual, não retira o caráter volitivo dos contratantes, pois nada mais é do que o oferecimento de uma estrutura legal daquela espécie de contrato, a qual </w:t>
      </w:r>
      <w:r w:rsidRPr="006F63EE">
        <w:rPr>
          <w:rFonts w:asciiTheme="minorHAnsi" w:hAnsiTheme="minorHAnsi" w:cstheme="minorHAnsi"/>
          <w:b/>
          <w:noProof/>
          <w:sz w:val="24"/>
          <w:szCs w:val="24"/>
        </w:rPr>
        <w:t>PODERÁ OU NÃO O CONTRATANTE CONSENTIR</w:t>
      </w:r>
      <w:r w:rsidRPr="006F63EE">
        <w:rPr>
          <w:rFonts w:asciiTheme="minorHAnsi" w:hAnsiTheme="minorHAnsi" w:cstheme="minorHAnsi"/>
          <w:noProof/>
          <w:sz w:val="24"/>
          <w:szCs w:val="24"/>
        </w:rPr>
        <w:t xml:space="preserve">. Nesse aspecto, deve ficar claro que a contratante que firmou pacto nessas condições não se limitou a aderi-lo, </w:t>
      </w:r>
      <w:r w:rsidRPr="006F63EE">
        <w:rPr>
          <w:rFonts w:asciiTheme="minorHAnsi" w:hAnsiTheme="minorHAnsi" w:cstheme="minorHAnsi"/>
          <w:b/>
          <w:noProof/>
          <w:sz w:val="24"/>
          <w:szCs w:val="24"/>
        </w:rPr>
        <w:t>MAS EFETIVAMENTE O ACEITOU</w:t>
      </w:r>
      <w:r w:rsidRPr="006F63EE">
        <w:rPr>
          <w:rFonts w:asciiTheme="minorHAnsi" w:hAnsiTheme="minorHAnsi" w:cstheme="minorHAnsi"/>
          <w:noProof/>
          <w:sz w:val="24"/>
          <w:szCs w:val="24"/>
        </w:rPr>
        <w:t xml:space="preserve">. </w:t>
      </w:r>
    </w:p>
    <w:p w14:paraId="3BBE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DD0B8F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não há o que se falar de que a parte autora não tinha plena consciência do funcionamento dos contratos de crédito bancário da CAIXA. </w:t>
      </w:r>
    </w:p>
    <w:p w14:paraId="1299D5AA"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BC472D" w:rsidRPr="006F63EE" w14:paraId="1F327FF0"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88AFB" w14:textId="77777777"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PRETENSÃO DE REVISÃO DOS CONTRATOS BANCÁRIO</w:t>
            </w:r>
          </w:p>
          <w:p w14:paraId="4C52CA94" w14:textId="39C8D720"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LIMITAÇÃO DA TAXA DE JUROS</w:t>
            </w:r>
          </w:p>
        </w:tc>
      </w:tr>
    </w:tbl>
    <w:p w14:paraId="65B54AB7"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77003102" w14:textId="542D7336"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r w:rsidRPr="00BC472D">
        <w:rPr>
          <w:rFonts w:asciiTheme="minorHAnsi" w:hAnsiTheme="minorHAnsi" w:cstheme="minorHAnsi"/>
          <w:noProof/>
          <w:sz w:val="24"/>
          <w:szCs w:val="24"/>
          <w:lang w:val="en-US"/>
        </w:rPr>
        <w:t>No que se refere a limitação da taxa de juros, é assente de que a aplicação de taxa de juros não encontra regulação no direito formal estatal, sendo que eventual excesso porventura praticado no contrato pela aplicação de índices que extrapolam a média comumente utilizada pelo mercado deve ser casuisticamente comprovado.</w:t>
      </w:r>
    </w:p>
    <w:p w14:paraId="5D651475"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3358D4B3" w14:textId="4297CA01" w:rsidR="00BC472D" w:rsidRPr="00BC472D" w:rsidRDefault="00BC472D" w:rsidP="00BC472D">
      <w:pPr>
        <w:tabs>
          <w:tab w:val="left" w:pos="4140"/>
        </w:tabs>
        <w:spacing w:line="360" w:lineRule="auto"/>
        <w:ind w:firstLine="567"/>
        <w:jc w:val="both"/>
        <w:rPr>
          <w:rFonts w:asciiTheme="minorHAnsi" w:hAnsiTheme="minorHAnsi" w:cstheme="minorHAnsi"/>
          <w:b/>
          <w:bCs/>
          <w:i/>
          <w:iCs/>
          <w:noProof/>
          <w:sz w:val="24"/>
          <w:szCs w:val="24"/>
          <w:lang w:val="en-US"/>
        </w:rPr>
      </w:pPr>
      <w:r w:rsidRPr="00BC472D">
        <w:rPr>
          <w:rFonts w:asciiTheme="minorHAnsi" w:hAnsiTheme="minorHAnsi" w:cstheme="minorHAnsi"/>
          <w:noProof/>
          <w:sz w:val="24"/>
          <w:szCs w:val="24"/>
          <w:lang w:val="en-US"/>
        </w:rPr>
        <w:lastRenderedPageBreak/>
        <w:t xml:space="preserve">No presente caso a alegação de abusividade da taxa de juros </w:t>
      </w:r>
      <w:r>
        <w:rPr>
          <w:rFonts w:asciiTheme="minorHAnsi" w:hAnsiTheme="minorHAnsi" w:cstheme="minorHAnsi"/>
          <w:noProof/>
          <w:sz w:val="24"/>
          <w:szCs w:val="24"/>
          <w:lang w:val="en-US"/>
        </w:rPr>
        <w:t>temos que não se verifica no contrato, muito menos foi devidamente comprovado pelo autor.</w:t>
      </w:r>
    </w:p>
    <w:p w14:paraId="71E49EE1"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76E34EDC" w14:textId="41520F6E"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r w:rsidRPr="00BC472D">
        <w:rPr>
          <w:rFonts w:asciiTheme="minorHAnsi" w:hAnsiTheme="minorHAnsi" w:cstheme="minorHAnsi"/>
          <w:noProof/>
          <w:sz w:val="24"/>
          <w:szCs w:val="24"/>
          <w:lang w:val="en-US"/>
        </w:rPr>
        <w:t>A jurisprudência do Tribunal Regional Federal da 4ª. Região assim se mostra pacificada quanto ao aspecto</w:t>
      </w:r>
    </w:p>
    <w:p w14:paraId="095542E3"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drawing>
          <wp:anchor distT="0" distB="0" distL="114300" distR="114300" simplePos="0" relativeHeight="251659264" behindDoc="0" locked="0" layoutInCell="1" allowOverlap="1" wp14:anchorId="793EB455" wp14:editId="75992845">
            <wp:simplePos x="0" y="0"/>
            <wp:positionH relativeFrom="column">
              <wp:posOffset>70485</wp:posOffset>
            </wp:positionH>
            <wp:positionV relativeFrom="paragraph">
              <wp:posOffset>304800</wp:posOffset>
            </wp:positionV>
            <wp:extent cx="6391275" cy="5046345"/>
            <wp:effectExtent l="0" t="0" r="9525" b="1905"/>
            <wp:wrapTopAndBottom/>
            <wp:docPr id="234664519" name="Imagem 1" descr="Jornal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64519" name="Imagem 1" descr="Jornal com texto preto sobre fundo branco&#10;&#10;Descrição gerada automaticamente com confiança média"/>
                    <pic:cNvPicPr/>
                  </pic:nvPicPr>
                  <pic:blipFill>
                    <a:blip r:embed="rId9">
                      <a:extLst>
                        <a:ext uri="{28A0092B-C50C-407E-A947-70E740481C1C}">
                          <a14:useLocalDpi xmlns:a14="http://schemas.microsoft.com/office/drawing/2010/main" val="0"/>
                        </a:ext>
                      </a:extLst>
                    </a:blip>
                    <a:stretch>
                      <a:fillRect/>
                    </a:stretch>
                  </pic:blipFill>
                  <pic:spPr>
                    <a:xfrm>
                      <a:off x="0" y="0"/>
                      <a:ext cx="6391275" cy="5046345"/>
                    </a:xfrm>
                    <a:prstGeom prst="rect">
                      <a:avLst/>
                    </a:prstGeom>
                  </pic:spPr>
                </pic:pic>
              </a:graphicData>
            </a:graphic>
          </wp:anchor>
        </w:drawing>
      </w:r>
    </w:p>
    <w:p w14:paraId="26F3C6C6"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711D5844" w14:textId="0FC17FF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r w:rsidRPr="00BC472D">
        <w:rPr>
          <w:rFonts w:asciiTheme="minorHAnsi" w:hAnsiTheme="minorHAnsi" w:cstheme="minorHAnsi"/>
          <w:noProof/>
          <w:sz w:val="24"/>
          <w:szCs w:val="24"/>
          <w:lang w:val="en-US"/>
        </w:rPr>
        <w:t>Precedente este que se encontra em plena consonância com a Súmula 596 do STF1 e com a tese firmada pelo STJ em sede de julgamento de recurso repetitivo pelo REsp 1.061.530.</w:t>
      </w:r>
    </w:p>
    <w:p w14:paraId="0DD02DB4"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067615C1" w14:textId="371DDD59"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A limitação da taxa de juros remuneratórios depende de comprovação da abusividade que decorre da fixação de percentuais discrepantes do mercado, sendo certo, nos termos da Súmula 382, do STJ, que a mera “estipulação de juros remuneratórios superiores a 12% ao ano, por si só, não indica abusividade”.</w:t>
      </w:r>
    </w:p>
    <w:p w14:paraId="7B2D4BE6"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13C5BF01" w14:textId="4055D01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lastRenderedPageBreak/>
        <w:t>Ocorre que no contrato que a parte devedora possui junto à CEF, os juros remuneratórios foram convencionados abaixo da taxa média exposta pelo BACEN. Por certo que não deve se considerar uma média como padronização de taxas, sob pena de não existir uma média, mas uma previsão de juros, imposta pelo Banco Central, a ser aplicada pelas instituições bancárias, o que não é o objetivo da taxa média de juros. O entendimento atual do STJ é de que as taxas de juros remuneratórios se mostram abusivas quando superiores a uma vez e meia a taxa média de juros divulgada (voto proferido pelo Min. Ari Pargendler no REsp 271.214/RS, Rel. p. Acórdão Min. Menezes Direito, DJ de 04.08.2003).</w:t>
      </w:r>
    </w:p>
    <w:p w14:paraId="243D3400"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5B00A509"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42C83D96" w14:textId="7676A2F0"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As taxas, no momento da utilização do limite, conforme contrato, estavam expressamente previstas nos extratos e divulgadas na agência ou no canal de utilização, tendo havido a aceitação da tomadora que, agora, como justificativa para um inadimplemento atual ou posterior, vem a juízo pleitear a revisão do que já tinha conhecimento no momento da contratação.</w:t>
      </w:r>
    </w:p>
    <w:p w14:paraId="16EF6BE0"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7A0A35AE" w14:textId="1FC57DC5"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Assim sendo, após verificação minuciosa do contrato no caso concreto </w:t>
      </w:r>
      <w:r>
        <w:rPr>
          <w:rFonts w:asciiTheme="minorHAnsi" w:hAnsiTheme="minorHAnsi" w:cstheme="minorHAnsi"/>
          <w:noProof/>
          <w:sz w:val="24"/>
          <w:szCs w:val="24"/>
        </w:rPr>
        <w:t>este</w:t>
      </w:r>
      <w:r w:rsidRPr="00BC472D">
        <w:rPr>
          <w:rFonts w:asciiTheme="minorHAnsi" w:hAnsiTheme="minorHAnsi" w:cstheme="minorHAnsi"/>
          <w:noProof/>
          <w:sz w:val="24"/>
          <w:szCs w:val="24"/>
        </w:rPr>
        <w:t xml:space="preserve"> juízo singular</w:t>
      </w:r>
      <w:r>
        <w:rPr>
          <w:rFonts w:asciiTheme="minorHAnsi" w:hAnsiTheme="minorHAnsi" w:cstheme="minorHAnsi"/>
          <w:noProof/>
          <w:sz w:val="24"/>
          <w:szCs w:val="24"/>
        </w:rPr>
        <w:t xml:space="preserve"> deve</w:t>
      </w:r>
      <w:r w:rsidRPr="00BC472D">
        <w:rPr>
          <w:rFonts w:asciiTheme="minorHAnsi" w:hAnsiTheme="minorHAnsi" w:cstheme="minorHAnsi"/>
          <w:noProof/>
          <w:sz w:val="24"/>
          <w:szCs w:val="24"/>
        </w:rPr>
        <w:t xml:space="preserve"> entende</w:t>
      </w:r>
      <w:r>
        <w:rPr>
          <w:rFonts w:asciiTheme="minorHAnsi" w:hAnsiTheme="minorHAnsi" w:cstheme="minorHAnsi"/>
          <w:noProof/>
          <w:sz w:val="24"/>
          <w:szCs w:val="24"/>
        </w:rPr>
        <w:t>r</w:t>
      </w:r>
      <w:r w:rsidRPr="00BC472D">
        <w:rPr>
          <w:rFonts w:asciiTheme="minorHAnsi" w:hAnsiTheme="minorHAnsi" w:cstheme="minorHAnsi"/>
          <w:noProof/>
          <w:sz w:val="24"/>
          <w:szCs w:val="24"/>
        </w:rPr>
        <w:t xml:space="preserve"> pela inexistência de juros abusivos,</w:t>
      </w:r>
      <w:r>
        <w:rPr>
          <w:rFonts w:asciiTheme="minorHAnsi" w:hAnsiTheme="minorHAnsi" w:cstheme="minorHAnsi"/>
          <w:noProof/>
          <w:sz w:val="24"/>
          <w:szCs w:val="24"/>
        </w:rPr>
        <w:t xml:space="preserve"> de modo que</w:t>
      </w:r>
      <w:r w:rsidRPr="00BC472D">
        <w:rPr>
          <w:rFonts w:asciiTheme="minorHAnsi" w:hAnsiTheme="minorHAnsi" w:cstheme="minorHAnsi"/>
          <w:noProof/>
          <w:sz w:val="24"/>
          <w:szCs w:val="24"/>
        </w:rPr>
        <w:t xml:space="preserve"> não merece</w:t>
      </w:r>
      <w:r>
        <w:rPr>
          <w:rFonts w:asciiTheme="minorHAnsi" w:hAnsiTheme="minorHAnsi" w:cstheme="minorHAnsi"/>
          <w:noProof/>
          <w:sz w:val="24"/>
          <w:szCs w:val="24"/>
        </w:rPr>
        <w:t>m</w:t>
      </w:r>
      <w:r w:rsidRPr="00BC472D">
        <w:rPr>
          <w:rFonts w:asciiTheme="minorHAnsi" w:hAnsiTheme="minorHAnsi" w:cstheme="minorHAnsi"/>
          <w:noProof/>
          <w:sz w:val="24"/>
          <w:szCs w:val="24"/>
        </w:rPr>
        <w:t xml:space="preserve"> prosperar as alegações deduzidas </w:t>
      </w:r>
      <w:r>
        <w:rPr>
          <w:rFonts w:asciiTheme="minorHAnsi" w:hAnsiTheme="minorHAnsi" w:cstheme="minorHAnsi"/>
          <w:noProof/>
          <w:sz w:val="24"/>
          <w:szCs w:val="24"/>
        </w:rPr>
        <w:t>na exordial, sendo julgados improcedentes os pedidos</w:t>
      </w:r>
      <w:r w:rsidRPr="00BC472D">
        <w:rPr>
          <w:rFonts w:asciiTheme="minorHAnsi" w:hAnsiTheme="minorHAnsi" w:cstheme="minorHAnsi"/>
          <w:noProof/>
          <w:sz w:val="24"/>
          <w:szCs w:val="24"/>
        </w:rPr>
        <w:t>.</w:t>
      </w:r>
    </w:p>
    <w:p w14:paraId="74BA5516"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BC472D" w:rsidRPr="006F63EE" w14:paraId="2FBF2EF8"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28C94B" w14:textId="4FEBD641"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COMISSÃO DE PERMANÊNCIA E DEMAIS ENCARGOS MORATÓRIOS</w:t>
            </w:r>
          </w:p>
        </w:tc>
      </w:tr>
    </w:tbl>
    <w:p w14:paraId="4097DB99"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1CD05D3E" w14:textId="22B30A5B"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É sabido que a comissão de permanência por atraso tem como objetivo fazer com que o inadimplente cumpra com suas obrigações perante a instituição financeira credora. Este encargo e composto de CDI, sendo usada a taxa média diária como referencial, taxa esta muito abaixo das praticadas pelo mercado. </w:t>
      </w:r>
    </w:p>
    <w:p w14:paraId="0095D324"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0ED1C7B9" w14:textId="7824468A"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No presente contrato, porém, não houve qualquer cumulação da comissão de permanência com outros encargos pois não houve tal cobrança. Os cálculos que embasam a inicial executiva são translúcidos ao demonstrarem o afastamento da cobrança desse encargo, prevendo que a comissão de permanência prevista no contrato fora substituída por índices individualizados e não cumulados de atualização monetária, juros legais, juros de mora e multa por atraso, em consonância com as súmulas 30, 294, 296 e 472 do STJ. </w:t>
      </w:r>
    </w:p>
    <w:p w14:paraId="20E7CE2A"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77DCEAF2" w14:textId="3324E9C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Dessa forma, demonstrou-se não haver cumulatividade dos encargos moratórios na forma exposta na petição de execução.</w:t>
      </w:r>
    </w:p>
    <w:p w14:paraId="1818052E" w14:textId="6D59ECC6"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Tal entendimento é corroborado pelo aclarado entendimento do juízo singular:</w:t>
      </w:r>
    </w:p>
    <w:p w14:paraId="6C8B7745"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3D6B8FCC" w14:textId="77777777" w:rsidR="00BC472D" w:rsidRPr="00BC472D" w:rsidRDefault="00BC472D" w:rsidP="00BC472D">
      <w:pPr>
        <w:tabs>
          <w:tab w:val="left" w:pos="4140"/>
        </w:tabs>
        <w:spacing w:line="360" w:lineRule="auto"/>
        <w:ind w:left="2268"/>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“A comissão de permanência incide na hipótese de impontualidade, a fim de corrigir monetariamente o capital e de remunerar o credor, em substituição aos demais encargos convencionados. Tendo isso em vista, o Superior Tribunal de Justiça considera válida a cobrança de comissão de permanência desde que: (i) não seja cumulada com outro encargo compensatório (correção monetária, juros remuneratórios e moratórios, multa contratual, taxa de rentabilidade etc); (ii) não sobrepuje a soma dos encargos remuneratórios e moratórios previstos na avença (Súmula nº 472 do STJ). </w:t>
      </w:r>
    </w:p>
    <w:p w14:paraId="62785727"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3DB46F66"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Na aplicação do posicionamento do STJ, o TRF4 tem decidido ser indevida a cumulação de comissão de permanência com taxa de rentabilidade, em qualquer percentual, em virtude da ilícita dupla compensação pela impontualidade (TRF4, AC nº 5008893-42.2012.404.7107, Relator Nicolau Konkel Júnior, 2015).”</w:t>
      </w:r>
    </w:p>
    <w:p w14:paraId="4E227C0A"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0E8AADEA" w14:textId="1FA7AC73"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Portanto, absolutamente dentro da legalidade e previsto no contrato assumido deliberadamente as partes, não cabe a alegação de afastamento do encargo in voga, de modo que deve ser </w:t>
      </w:r>
      <w:r>
        <w:rPr>
          <w:rFonts w:asciiTheme="minorHAnsi" w:hAnsiTheme="minorHAnsi" w:cstheme="minorHAnsi"/>
          <w:noProof/>
          <w:sz w:val="24"/>
          <w:szCs w:val="24"/>
        </w:rPr>
        <w:t>julgado improcedente o pedido deduzido na inicial também no que tange à revisão contratual</w:t>
      </w:r>
      <w:r w:rsidRPr="00BC472D">
        <w:rPr>
          <w:rFonts w:asciiTheme="minorHAnsi" w:hAnsiTheme="minorHAnsi" w:cstheme="minorHAnsi"/>
          <w:noProof/>
          <w:sz w:val="24"/>
          <w:szCs w:val="24"/>
        </w:rPr>
        <w:t>.</w:t>
      </w:r>
    </w:p>
    <w:p w14:paraId="56D7924E" w14:textId="77777777" w:rsidR="00BC472D" w:rsidRDefault="00BC472D" w:rsidP="006F63EE">
      <w:pPr>
        <w:tabs>
          <w:tab w:val="left" w:pos="4140"/>
        </w:tabs>
        <w:spacing w:line="360" w:lineRule="auto"/>
        <w:ind w:firstLine="567"/>
        <w:jc w:val="both"/>
        <w:rPr>
          <w:rFonts w:asciiTheme="minorHAnsi" w:hAnsiTheme="minorHAnsi" w:cstheme="minorHAnsi"/>
          <w:noProof/>
          <w:sz w:val="24"/>
          <w:szCs w:val="24"/>
        </w:rPr>
      </w:pPr>
    </w:p>
    <w:p w14:paraId="5D40001A" w14:textId="77777777" w:rsidR="00BC472D" w:rsidRPr="006F63EE" w:rsidRDefault="00BC472D"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39AE70DA"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2A687A4"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BOA FÉ OBJETIVA</w:t>
            </w:r>
          </w:p>
        </w:tc>
      </w:tr>
    </w:tbl>
    <w:p w14:paraId="742C1F9A"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5BC550E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que mais causa estranheza no presente caso é a pretensão da parte demandante de invalidar sua própria declaração de vontade, a fim de eximir-se do pagamento de seu débito, o que resultaria num verdadeiro enriquecimento sem causa em detrimento desta empresa pública.</w:t>
      </w:r>
    </w:p>
    <w:p w14:paraId="3BBE893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7B19E83" w14:textId="00D36D16" w:rsidR="006F63EE" w:rsidRPr="006F63EE" w:rsidRDefault="006F63EE" w:rsidP="00CD5C4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A impossibilidade de a parte autora invalidar sua própria declaração de vontade decorre principalmente da boa-fé que deve preponderar nas</w:t>
      </w:r>
      <w:r w:rsidR="00CD5C41">
        <w:rPr>
          <w:rFonts w:asciiTheme="minorHAnsi" w:hAnsiTheme="minorHAnsi" w:cstheme="minorHAnsi"/>
          <w:noProof/>
          <w:sz w:val="24"/>
          <w:szCs w:val="24"/>
        </w:rPr>
        <w:t xml:space="preserve"> </w:t>
      </w:r>
      <w:r w:rsidRPr="006F63EE">
        <w:rPr>
          <w:rFonts w:asciiTheme="minorHAnsi" w:hAnsiTheme="minorHAnsi" w:cstheme="minorHAnsi"/>
          <w:noProof/>
          <w:sz w:val="24"/>
          <w:szCs w:val="24"/>
        </w:rPr>
        <w:t xml:space="preserve">relações jurídicas, em respeito à regra </w:t>
      </w:r>
      <w:r w:rsidRPr="006F63EE">
        <w:rPr>
          <w:rFonts w:asciiTheme="minorHAnsi" w:hAnsiTheme="minorHAnsi" w:cstheme="minorHAnsi"/>
          <w:i/>
          <w:noProof/>
          <w:sz w:val="24"/>
          <w:szCs w:val="24"/>
        </w:rPr>
        <w:t>nemo datur venire contra factum proprium</w:t>
      </w:r>
      <w:r w:rsidRPr="006F63EE">
        <w:rPr>
          <w:rFonts w:asciiTheme="minorHAnsi" w:hAnsiTheme="minorHAnsi" w:cstheme="minorHAnsi"/>
          <w:noProof/>
          <w:sz w:val="24"/>
          <w:szCs w:val="24"/>
        </w:rPr>
        <w:t>.</w:t>
      </w:r>
    </w:p>
    <w:p w14:paraId="541AEB1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7B9D9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tal regra ninguém pode destruir os efeitos jurídicos que criou com os seus próprios atos. O </w:t>
      </w:r>
      <w:r w:rsidRPr="006F63EE">
        <w:rPr>
          <w:rFonts w:asciiTheme="minorHAnsi" w:hAnsiTheme="minorHAnsi" w:cstheme="minorHAnsi"/>
          <w:i/>
          <w:noProof/>
          <w:sz w:val="24"/>
          <w:szCs w:val="24"/>
        </w:rPr>
        <w:t>factum proprium</w:t>
      </w:r>
      <w:r w:rsidRPr="006F63EE">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1FEB1E2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9EFFCE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Segundo o professor Paulo Luiz Netto Lobo:</w:t>
      </w:r>
    </w:p>
    <w:p w14:paraId="26C622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A1726C6"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princípio da confiança explicitaria o reconhecimento dessa situação e a sua tutela. </w:t>
      </w:r>
    </w:p>
    <w:p w14:paraId="05373FEB"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(LÔBO, Paulo Luiz Netto. Deveres gerais de conduta nas obrigações civis. Jus Navigandi, Teresina, ano 9, n. 711, 16 jun. 2005)</w:t>
      </w:r>
    </w:p>
    <w:p w14:paraId="339BC08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79352685"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Ora, o inadimplemento puro e simples, sem qualquer motivo justificável, quebra também com a boa-fé objetiva, não sendo a conduta honesta, correta, leal, esperada dos contratantes.</w:t>
      </w:r>
    </w:p>
    <w:p w14:paraId="3B1F4D10"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7DB81F89" w14:textId="77777777" w:rsidR="000F5E1D" w:rsidRDefault="000F5E1D" w:rsidP="006F63EE">
      <w:pPr>
        <w:tabs>
          <w:tab w:val="left" w:pos="4140"/>
        </w:tabs>
        <w:spacing w:line="360" w:lineRule="auto"/>
        <w:ind w:firstLine="567"/>
        <w:jc w:val="both"/>
        <w:rPr>
          <w:rFonts w:asciiTheme="minorHAnsi" w:hAnsiTheme="minorHAnsi" w:cstheme="minorHAnsi"/>
          <w:noProof/>
          <w:sz w:val="24"/>
          <w:szCs w:val="24"/>
        </w:rPr>
      </w:pPr>
    </w:p>
    <w:p w14:paraId="332E830A" w14:textId="77777777" w:rsidR="000F5E1D" w:rsidRDefault="000F5E1D" w:rsidP="006F63EE">
      <w:pPr>
        <w:tabs>
          <w:tab w:val="left" w:pos="4140"/>
        </w:tabs>
        <w:spacing w:line="360" w:lineRule="auto"/>
        <w:ind w:firstLine="567"/>
        <w:jc w:val="both"/>
        <w:rPr>
          <w:rFonts w:asciiTheme="minorHAnsi" w:hAnsiTheme="minorHAnsi" w:cstheme="minorHAnsi"/>
          <w:noProof/>
          <w:sz w:val="24"/>
          <w:szCs w:val="24"/>
        </w:rPr>
      </w:pPr>
    </w:p>
    <w:p w14:paraId="51D5DA00" w14:textId="77777777" w:rsidR="000F5E1D" w:rsidRDefault="000F5E1D" w:rsidP="006F63EE">
      <w:pPr>
        <w:tabs>
          <w:tab w:val="left" w:pos="4140"/>
        </w:tabs>
        <w:spacing w:line="360" w:lineRule="auto"/>
        <w:ind w:firstLine="567"/>
        <w:jc w:val="both"/>
        <w:rPr>
          <w:rFonts w:asciiTheme="minorHAnsi" w:hAnsiTheme="minorHAnsi" w:cstheme="minorHAnsi"/>
          <w:noProof/>
          <w:sz w:val="24"/>
          <w:szCs w:val="24"/>
        </w:rPr>
      </w:pPr>
    </w:p>
    <w:p w14:paraId="233242E3" w14:textId="77777777" w:rsidR="000F5E1D" w:rsidRPr="006F63EE" w:rsidRDefault="000F5E1D"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56E386DE" w14:textId="77777777" w:rsidTr="00C7028E">
        <w:trPr>
          <w:jc w:val="center"/>
        </w:trPr>
        <w:tc>
          <w:tcPr>
            <w:tcW w:w="8494" w:type="dxa"/>
            <w:shd w:val="clear" w:color="auto" w:fill="FFFFFF" w:themeFill="background1"/>
            <w:vAlign w:val="center"/>
          </w:tcPr>
          <w:p w14:paraId="5D42632C"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INAPLICABILIDADE DA INVERSÃO DO ÔNUS DA PROVA</w:t>
            </w:r>
          </w:p>
        </w:tc>
      </w:tr>
    </w:tbl>
    <w:p w14:paraId="71B9E476"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037E7FB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 que pese as alegações da parte Autora de que os descontos realizados pela CAIXA superam o legalmente estabelecido, compulsando os autos, verifica-se que o Autor NÃO juntou qualquer documento comprobatório da efetiva ocorrência de tal fato.</w:t>
      </w:r>
    </w:p>
    <w:p w14:paraId="26F5C1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D00E2A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tendo em vista o disposto no art. 333, I do CPC (cabe ao autor a prova do fato constitutivo do seu direito) e não tendo o demandante se desincumbido do ônus da prova, merecem ser julgados improcedentes todos os pedidos formulados na exordial. </w:t>
      </w:r>
    </w:p>
    <w:p w14:paraId="6604959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EC533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Vale rechaçar, por oportuno, a tentativa da parte autora de, ante a total carência indícios aptos a lastrear a presente demanda, valer-se da inversão do ônus da prova.</w:t>
      </w:r>
    </w:p>
    <w:p w14:paraId="7D40709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b/>
      </w:r>
    </w:p>
    <w:p w14:paraId="2C2D33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Código de Defesa do Consumidor, é cediço, prevê a possibilidade de inversão do ônus da prova, contudo, assim autoriza apenas para os casos que cumpram alguns requisitos, com destaque: a verossimilhança das alegações decorrente da análise do contexto fático-probatório.</w:t>
      </w:r>
    </w:p>
    <w:p w14:paraId="5D2B96C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45176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 caso em estudo, é notória a ausência da comprovação/indícios da existência do suposto saque indevido, porquanto nenhum extrato/comprovante/demonstrativo neste sentido foi juntado nos autos.</w:t>
      </w:r>
    </w:p>
    <w:p w14:paraId="31A0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CEAB75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rPr>
        <w:t>Frise-se que não seria prova de difícil produção, porquanto bastaria a apresentação dos documentos relativos aos benefícios que são de titularidade do Autor, pelo que este tem fácil acesso, acompanhado de simples conta aritmética comprovando o excesso.</w:t>
      </w:r>
    </w:p>
    <w:p w14:paraId="5389B04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43D25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Também notória a ausência da comprovação/indícios da suposta fraude, porquanto nenhuma apuração policial neste sentido foi concluída e apresentada nos autos.</w:t>
      </w:r>
    </w:p>
    <w:p w14:paraId="48B6C61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Jurisprudência tem posicionamento semelhante ao acima posto. Veja-se:</w:t>
      </w:r>
    </w:p>
    <w:p w14:paraId="26DAA29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2C9B8DB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EMBARGOS DE DECLARAÇÃO NO AGRAVO EM RECURSO ESPECIAL. PROCESSUAL CIVIL. EMBARGOS RECEBIDOS COMO AGRAVO REGIMENTAL, DADO O NÍTIDO CARÁTER INFRINGENTE DO RECURSO. INCLUSÃO EM CADASTRO RESTRITIVO DE CRÉDITO. ÔNUS DA PROVA. FALTA DE VEROSSIMILHANÇA NAS ALEGAÇÕES. AUSÊNCIA DE ELEMENTOS MÍNIMOS O SUFICIENTE PARA A INVERSÃO DO ÔNUS DA PROVA. SÚMULA 7/STJ. RECURSO NÃO PROVIDO.</w:t>
      </w:r>
    </w:p>
    <w:p w14:paraId="669759D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w:t>
      </w:r>
    </w:p>
    <w:p w14:paraId="575DD90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2. É pacífico o entendimento desta Corte de que a aplicação do art. 6º, VIII, do CDC depende da análise, pelas instâncias ordinárias, da verossimilhança da alegação e da demonstração de hipossuficiência do consumidor, (...).</w:t>
      </w:r>
    </w:p>
    <w:p w14:paraId="465BD88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3. O Tribunal de origem se firmou no sentido de que as </w:t>
      </w:r>
      <w:r w:rsidRPr="006F63EE">
        <w:rPr>
          <w:rFonts w:asciiTheme="minorHAnsi" w:hAnsiTheme="minorHAnsi" w:cstheme="minorHAnsi"/>
          <w:b/>
          <w:noProof/>
          <w:sz w:val="24"/>
          <w:szCs w:val="24"/>
        </w:rPr>
        <w:t>alegações autorais não se mostraram verossímeis diante dos elementos fáticos colacionados nos autos, de forma mínima o suficiente para a inversão do ônus da prova.</w:t>
      </w:r>
      <w:r w:rsidRPr="006F63EE">
        <w:rPr>
          <w:rFonts w:asciiTheme="minorHAnsi" w:hAnsiTheme="minorHAnsi" w:cstheme="minorHAnsi"/>
          <w:noProof/>
          <w:sz w:val="24"/>
          <w:szCs w:val="24"/>
        </w:rPr>
        <w:t xml:space="preserve"> (...)</w:t>
      </w:r>
    </w:p>
    <w:p w14:paraId="4C8E9DF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(EDcl no AREsp 695.789/RJ, Rel. Ministro RAUL ARAÚJO, QUARTA TURMA, julgado em 16/06/2015, DJe 03/08/2015) (grifo nosso)</w:t>
      </w:r>
    </w:p>
    <w:p w14:paraId="164EEE4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D18536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EMENTA: AÇÃO INDENIZATÓRIA. CORRENTISTA. CEF. DANOS MATERIAIS E MORAIS NÃO COMPROVADOS. </w:t>
      </w:r>
    </w:p>
    <w:p w14:paraId="5943FA3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1. A Lei n.º 8.078/90 prevê a facilitação da defesa do consumidor através da inversão do ônus da prova, adequando-se ao processo moderno, já que o modelo processual tradicional mostrou-se inadequado às sociedades de massa, obstando o acesso a uma ordem jurídica efetiva e justa. Assim, a inversão do ônus da prova, conforme pretendido pelo autor, é direito de facilitação da defesa e não pode ser determinada senão após o oferecimento e valoração da prova, se e quando o julgador estiver em dúvida. Logo, a inversão do ônus da prova não é automática, ela depende de circunstâncias concretas que serão apuradas pelo juiz no contexto da facilitação da defesa do consumidor. O reconhecimento da possibilidade </w:t>
      </w:r>
      <w:r w:rsidRPr="006F63EE">
        <w:rPr>
          <w:rFonts w:asciiTheme="minorHAnsi" w:hAnsiTheme="minorHAnsi" w:cstheme="minorHAnsi"/>
          <w:noProof/>
          <w:sz w:val="24"/>
          <w:szCs w:val="24"/>
        </w:rPr>
        <w:lastRenderedPageBreak/>
        <w:t xml:space="preserve">de inversão do ônus probatório, de acordo com o caso concreto, não implica, entretanto, presunção de veracidade. Tal inversão deve ser analisada com cautela, não havendo a possibilidade de impor-se a produção de prova impossível. Significa dizer, portanto, que, pelo fato de ter sido realizada a inversão do ônus da prova, não se deve exigir da CEF a produção de prova em contrário às alegações do autor, independentemente de sua viabilidade. </w:t>
      </w:r>
    </w:p>
    <w:p w14:paraId="1FE4115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2. No caso em apreço, não se verifica possibilidade de obrigar a CEF a comprovar que os saques foram efetivamente feitos pelo demandante ou por ele autorizados se efetuados por meio de cartão magnético e com o uso de senha pessoal. </w:t>
      </w:r>
    </w:p>
    <w:p w14:paraId="0B79F0E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3. Apelação improvida. (TRF4, AC 5000150-53.2011.404.7115, Terceira Turma, Relator p/ Acórdão Carlos Eduardo Thompson Flores Lenz, D.E. 29/07/2011) (destaques nossos)</w:t>
      </w:r>
    </w:p>
    <w:p w14:paraId="601B8D8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5DEB876" w14:textId="508B6E2E"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Destarte, não se vislumbra a necessária verossimilhança para fins de deferimento da inversão do ônus da prova. </w:t>
      </w:r>
    </w:p>
    <w:p w14:paraId="03EF5F4B" w14:textId="77777777" w:rsidR="000F5E1D" w:rsidRDefault="000F5E1D" w:rsidP="006F63EE">
      <w:pPr>
        <w:autoSpaceDE w:val="0"/>
        <w:autoSpaceDN w:val="0"/>
        <w:adjustRightInd w:val="0"/>
        <w:spacing w:line="360" w:lineRule="auto"/>
        <w:ind w:firstLine="567"/>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2354259" w14:textId="77777777" w:rsidTr="00C7028E">
        <w:trPr>
          <w:jc w:val="center"/>
        </w:trPr>
        <w:tc>
          <w:tcPr>
            <w:tcW w:w="8778" w:type="dxa"/>
            <w:shd w:val="clear" w:color="auto" w:fill="FFFFFF" w:themeFill="background1"/>
            <w:vAlign w:val="center"/>
          </w:tcPr>
          <w:p w14:paraId="30C0DEEF"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CONCLUSÃO</w:t>
            </w:r>
          </w:p>
        </w:tc>
      </w:tr>
    </w:tbl>
    <w:p w14:paraId="003F5423"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E8CFC44" w14:textId="77777777" w:rsidR="00CD5C41" w:rsidRPr="006F63EE" w:rsidRDefault="00CD5C41" w:rsidP="006F63EE">
      <w:pPr>
        <w:tabs>
          <w:tab w:val="left" w:pos="4140"/>
        </w:tabs>
        <w:spacing w:line="360" w:lineRule="auto"/>
        <w:ind w:firstLine="567"/>
        <w:jc w:val="both"/>
        <w:rPr>
          <w:rFonts w:asciiTheme="minorHAnsi" w:hAnsiTheme="minorHAnsi" w:cstheme="minorHAnsi"/>
          <w:noProof/>
          <w:sz w:val="24"/>
          <w:szCs w:val="24"/>
        </w:rPr>
      </w:pPr>
    </w:p>
    <w:p w14:paraId="3020D47D" w14:textId="3DCEF354" w:rsidR="00AF1F4A" w:rsidRPr="006F63EE" w:rsidRDefault="00AF1F4A"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Ante todo o exposto, requer seja acolhida a</w:t>
      </w:r>
      <w:r w:rsidRPr="006F63EE">
        <w:rPr>
          <w:rFonts w:asciiTheme="minorHAnsi" w:hAnsiTheme="minorHAnsi" w:cstheme="minorHAnsi"/>
          <w:b/>
          <w:bCs/>
          <w:sz w:val="24"/>
          <w:szCs w:val="24"/>
        </w:rPr>
        <w:t xml:space="preserve"> </w:t>
      </w:r>
      <w:r w:rsidRPr="006F63EE">
        <w:rPr>
          <w:rFonts w:asciiTheme="minorHAnsi" w:hAnsiTheme="minorHAnsi" w:cstheme="minorHAnsi"/>
          <w:sz w:val="24"/>
          <w:szCs w:val="24"/>
        </w:rPr>
        <w:t>preliminar arg</w:t>
      </w:r>
      <w:r w:rsidR="00CD7BE7" w:rsidRPr="006F63EE">
        <w:rPr>
          <w:rFonts w:asciiTheme="minorHAnsi" w:hAnsiTheme="minorHAnsi" w:cstheme="minorHAnsi"/>
          <w:sz w:val="24"/>
          <w:szCs w:val="24"/>
        </w:rPr>
        <w:t>u</w:t>
      </w:r>
      <w:r w:rsidRPr="006F63EE">
        <w:rPr>
          <w:rFonts w:asciiTheme="minorHAnsi" w:hAnsiTheme="minorHAnsi" w:cstheme="minorHAnsi"/>
          <w:sz w:val="24"/>
          <w:szCs w:val="24"/>
        </w:rPr>
        <w:t xml:space="preserve">idas, </w:t>
      </w:r>
      <w:r w:rsidR="00CD7BE7" w:rsidRPr="006F63EE">
        <w:rPr>
          <w:rFonts w:asciiTheme="minorHAnsi" w:hAnsiTheme="minorHAnsi" w:cstheme="minorHAnsi"/>
          <w:sz w:val="24"/>
          <w:szCs w:val="24"/>
        </w:rPr>
        <w:t xml:space="preserve">de modo que seja extinto o feito </w:t>
      </w:r>
      <w:r w:rsidR="00B574E5">
        <w:rPr>
          <w:rFonts w:asciiTheme="minorHAnsi" w:hAnsiTheme="minorHAnsi" w:cstheme="minorHAnsi"/>
          <w:sz w:val="24"/>
          <w:szCs w:val="24"/>
        </w:rPr>
        <w:t>com</w:t>
      </w:r>
      <w:r w:rsidR="00CD7BE7" w:rsidRPr="006F63EE">
        <w:rPr>
          <w:rFonts w:asciiTheme="minorHAnsi" w:hAnsiTheme="minorHAnsi" w:cstheme="minorHAnsi"/>
          <w:sz w:val="24"/>
          <w:szCs w:val="24"/>
        </w:rPr>
        <w:t xml:space="preserve"> resolução de mérito, </w:t>
      </w:r>
      <w:r w:rsidR="00B574E5">
        <w:rPr>
          <w:rFonts w:asciiTheme="minorHAnsi" w:hAnsiTheme="minorHAnsi" w:cstheme="minorHAnsi"/>
          <w:sz w:val="24"/>
          <w:szCs w:val="24"/>
        </w:rPr>
        <w:t>sendo julgados IMPROCEDENTES os pedidos deduzidos na inicial.</w:t>
      </w:r>
    </w:p>
    <w:p w14:paraId="56090994" w14:textId="77777777" w:rsidR="00BC472D" w:rsidRDefault="00BC472D" w:rsidP="006F63EE">
      <w:pPr>
        <w:tabs>
          <w:tab w:val="left" w:pos="4140"/>
        </w:tabs>
        <w:spacing w:line="360" w:lineRule="auto"/>
        <w:ind w:firstLine="567"/>
        <w:jc w:val="both"/>
        <w:rPr>
          <w:rFonts w:asciiTheme="minorHAnsi" w:hAnsiTheme="minorHAnsi" w:cstheme="minorHAnsi"/>
          <w:noProof/>
          <w:sz w:val="24"/>
          <w:szCs w:val="24"/>
        </w:rPr>
      </w:pPr>
    </w:p>
    <w:p w14:paraId="54E7583B" w14:textId="060702F4" w:rsidR="00AF1F4A" w:rsidRPr="006F63EE" w:rsidRDefault="00AF1F4A"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32A06598" w14:textId="77777777" w:rsidR="000F5E1D" w:rsidRDefault="000F5E1D" w:rsidP="006F63EE">
      <w:pPr>
        <w:spacing w:before="200" w:after="200" w:line="240" w:lineRule="auto"/>
        <w:ind w:firstLine="567"/>
        <w:jc w:val="both"/>
        <w:rPr>
          <w:rFonts w:asciiTheme="minorHAnsi" w:hAnsiTheme="minorHAnsi" w:cstheme="minorHAnsi"/>
          <w:noProof/>
          <w:sz w:val="24"/>
          <w:szCs w:val="24"/>
        </w:rPr>
      </w:pPr>
    </w:p>
    <w:p w14:paraId="4527C97A" w14:textId="77777777" w:rsidR="000F5E1D" w:rsidRDefault="000F5E1D" w:rsidP="006F63EE">
      <w:pPr>
        <w:spacing w:before="200" w:after="200" w:line="240" w:lineRule="auto"/>
        <w:ind w:firstLine="567"/>
        <w:jc w:val="both"/>
        <w:rPr>
          <w:rFonts w:asciiTheme="minorHAnsi" w:hAnsiTheme="minorHAnsi" w:cstheme="minorHAnsi"/>
          <w:noProof/>
          <w:sz w:val="24"/>
          <w:szCs w:val="24"/>
        </w:rPr>
      </w:pPr>
    </w:p>
    <w:p w14:paraId="368EC763" w14:textId="77777777" w:rsidR="000F5E1D" w:rsidRDefault="000F5E1D" w:rsidP="006F63EE">
      <w:pPr>
        <w:spacing w:before="200" w:after="200" w:line="240" w:lineRule="auto"/>
        <w:ind w:firstLine="567"/>
        <w:jc w:val="both"/>
        <w:rPr>
          <w:rFonts w:asciiTheme="minorHAnsi" w:hAnsiTheme="minorHAnsi" w:cstheme="minorHAnsi"/>
          <w:noProof/>
          <w:sz w:val="24"/>
          <w:szCs w:val="24"/>
        </w:rPr>
      </w:pPr>
    </w:p>
    <w:p w14:paraId="0A02439E" w14:textId="226923CA" w:rsidR="004767F5" w:rsidRPr="006F63EE" w:rsidRDefault="00291592" w:rsidP="006F63EE">
      <w:pPr>
        <w:spacing w:before="200" w:after="200" w:line="24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noProof/>
          <w:sz w:val="24"/>
          <w:szCs w:val="24"/>
        </w:rPr>
        <w:lastRenderedPageBreak/>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6F63EE">
        <w:rPr>
          <w:rFonts w:asciiTheme="minorHAnsi" w:hAnsiTheme="minorHAnsi" w:cstheme="minorHAnsi"/>
          <w:b/>
          <w:bCs/>
          <w:noProof/>
          <w:sz w:val="24"/>
          <w:szCs w:val="24"/>
          <w:u w:val="single"/>
        </w:rPr>
        <w:t>Dr. JOÃO ALVES BARBOSA FILHO, inscrito sob o nº OAB/RS 90657-A, sob pena de nulidade das mesmas.</w:t>
      </w:r>
      <w:r w:rsidR="00E71F56" w:rsidRPr="006F63EE">
        <w:rPr>
          <w:rFonts w:asciiTheme="minorHAnsi" w:hAnsiTheme="minorHAnsi" w:cstheme="minorHAnsi"/>
          <w:b/>
          <w:bCs/>
          <w:noProof/>
          <w:sz w:val="24"/>
          <w:szCs w:val="24"/>
          <w:u w:val="single"/>
        </w:rPr>
        <w:br/>
      </w:r>
    </w:p>
    <w:p w14:paraId="212B7B6A" w14:textId="5A939D1B" w:rsidR="004767F5" w:rsidRPr="006F63EE" w:rsidRDefault="00291592" w:rsidP="00E71F56">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Nestes Termos,</w:t>
      </w:r>
      <w:r w:rsidRPr="006F63EE">
        <w:rPr>
          <w:rFonts w:asciiTheme="minorHAnsi" w:hAnsiTheme="minorHAnsi" w:cstheme="minorHAnsi"/>
          <w:sz w:val="24"/>
          <w:szCs w:val="24"/>
        </w:rPr>
        <w:br/>
        <w:t> Pede Deferimento,</w:t>
      </w:r>
      <w:r w:rsidRPr="006F63EE">
        <w:rPr>
          <w:rFonts w:asciiTheme="minorHAnsi" w:hAnsiTheme="minorHAnsi" w:cstheme="minorHAnsi"/>
          <w:sz w:val="24"/>
          <w:szCs w:val="24"/>
        </w:rPr>
        <w:br/>
      </w:r>
      <w:r w:rsidRPr="006F63EE">
        <w:rPr>
          <w:rFonts w:asciiTheme="minorHAnsi" w:hAnsiTheme="minorHAnsi" w:cstheme="minorHAnsi"/>
          <w:sz w:val="24"/>
          <w:szCs w:val="24"/>
        </w:rPr>
        <w:br/>
      </w:r>
      <w:r w:rsidR="000F5E1D">
        <w:rPr>
          <w:rFonts w:asciiTheme="minorHAnsi" w:hAnsiTheme="minorHAnsi" w:cstheme="minorHAnsi"/>
          <w:sz w:val="24"/>
          <w:szCs w:val="24"/>
        </w:rPr>
        <w:t>RIO GRANDE</w:t>
      </w:r>
      <w:r w:rsidRPr="006F63EE">
        <w:rPr>
          <w:rFonts w:asciiTheme="minorHAnsi" w:hAnsiTheme="minorHAnsi" w:cstheme="minorHAnsi"/>
          <w:sz w:val="24"/>
          <w:szCs w:val="24"/>
        </w:rPr>
        <w:t xml:space="preserve">, </w:t>
      </w:r>
      <w:r w:rsidR="00CD5C41">
        <w:rPr>
          <w:rFonts w:asciiTheme="minorHAnsi" w:hAnsiTheme="minorHAnsi" w:cstheme="minorHAnsi"/>
          <w:sz w:val="24"/>
          <w:szCs w:val="24"/>
        </w:rPr>
        <w:t>10</w:t>
      </w:r>
      <w:r w:rsidRPr="006F63EE">
        <w:rPr>
          <w:rFonts w:asciiTheme="minorHAnsi" w:hAnsiTheme="minorHAnsi" w:cstheme="minorHAnsi"/>
          <w:sz w:val="24"/>
          <w:szCs w:val="24"/>
        </w:rPr>
        <w:t xml:space="preserve"> de </w:t>
      </w:r>
      <w:proofErr w:type="gramStart"/>
      <w:r w:rsidR="00B3233B" w:rsidRPr="006F63EE">
        <w:rPr>
          <w:rFonts w:asciiTheme="minorHAnsi" w:hAnsiTheme="minorHAnsi" w:cstheme="minorHAnsi"/>
          <w:sz w:val="24"/>
          <w:szCs w:val="24"/>
        </w:rPr>
        <w:t>Ju</w:t>
      </w:r>
      <w:r w:rsidR="00332111">
        <w:rPr>
          <w:rFonts w:asciiTheme="minorHAnsi" w:hAnsiTheme="minorHAnsi" w:cstheme="minorHAnsi"/>
          <w:sz w:val="24"/>
          <w:szCs w:val="24"/>
        </w:rPr>
        <w:t>l</w:t>
      </w:r>
      <w:r w:rsidR="00B3233B" w:rsidRPr="006F63EE">
        <w:rPr>
          <w:rFonts w:asciiTheme="minorHAnsi" w:hAnsiTheme="minorHAnsi" w:cstheme="minorHAnsi"/>
          <w:sz w:val="24"/>
          <w:szCs w:val="24"/>
        </w:rPr>
        <w:t>ho</w:t>
      </w:r>
      <w:proofErr w:type="gramEnd"/>
      <w:r w:rsidRPr="006F63EE">
        <w:rPr>
          <w:rFonts w:asciiTheme="minorHAnsi" w:hAnsiTheme="minorHAnsi" w:cstheme="minorHAnsi"/>
          <w:sz w:val="24"/>
          <w:szCs w:val="24"/>
        </w:rPr>
        <w:t xml:space="preserve"> de 2023.</w:t>
      </w:r>
      <w:r w:rsidRPr="006F63EE">
        <w:rPr>
          <w:rFonts w:asciiTheme="minorHAnsi" w:hAnsiTheme="minorHAnsi" w:cstheme="minorHAnsi"/>
          <w:sz w:val="24"/>
          <w:szCs w:val="24"/>
        </w:rPr>
        <w:br/>
      </w:r>
      <w:r w:rsidRPr="006F63EE">
        <w:rPr>
          <w:rFonts w:asciiTheme="minorHAnsi" w:hAnsiTheme="minorHAnsi" w:cstheme="minorHAnsi"/>
          <w:sz w:val="24"/>
          <w:szCs w:val="24"/>
        </w:rPr>
        <w:br/>
      </w:r>
      <w:r w:rsidRPr="006F63EE">
        <w:rPr>
          <w:rFonts w:asciiTheme="minorHAnsi" w:hAnsiTheme="minorHAnsi" w:cstheme="minorHAnsi"/>
          <w:b/>
          <w:bCs/>
          <w:sz w:val="24"/>
          <w:szCs w:val="24"/>
        </w:rPr>
        <w:t>JOÃO BARBOSA</w:t>
      </w:r>
      <w:r w:rsidRPr="006F63EE">
        <w:rPr>
          <w:rFonts w:asciiTheme="minorHAnsi" w:hAnsiTheme="minorHAnsi" w:cstheme="minorHAnsi"/>
          <w:b/>
          <w:bCs/>
          <w:sz w:val="24"/>
          <w:szCs w:val="24"/>
        </w:rPr>
        <w:br/>
        <w:t>OAB/RS 90657-A</w:t>
      </w:r>
      <w:r w:rsidRPr="006F63EE">
        <w:rPr>
          <w:rFonts w:asciiTheme="minorHAnsi" w:hAnsiTheme="minorHAnsi" w:cstheme="minorHAnsi"/>
          <w:b/>
          <w:bCs/>
          <w:sz w:val="24"/>
          <w:szCs w:val="24"/>
        </w:rPr>
        <w:br/>
      </w:r>
      <w:r w:rsidRPr="006F63EE">
        <w:rPr>
          <w:rFonts w:asciiTheme="minorHAnsi" w:hAnsiTheme="minorHAnsi" w:cstheme="minorHAnsi"/>
          <w:sz w:val="24"/>
          <w:szCs w:val="24"/>
        </w:rPr>
        <w:t> </w:t>
      </w:r>
    </w:p>
    <w:p w14:paraId="1C2A65F4" w14:textId="77777777" w:rsidR="004767F5" w:rsidRPr="006F63EE" w:rsidRDefault="00291592">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 </w:t>
      </w:r>
    </w:p>
    <w:sectPr w:rsidR="004767F5" w:rsidRPr="006F63EE"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6DD11E2"/>
    <w:multiLevelType w:val="hybridMultilevel"/>
    <w:tmpl w:val="3DCC3C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5"/>
    <w:lvlOverride w:ilvl="0">
      <w:startOverride w:val="1"/>
    </w:lvlOverride>
  </w:num>
  <w:num w:numId="4" w16cid:durableId="1924485367">
    <w:abstractNumId w:val="4"/>
    <w:lvlOverride w:ilvl="0">
      <w:startOverride w:val="1"/>
    </w:lvlOverride>
  </w:num>
  <w:num w:numId="5" w16cid:durableId="853303586">
    <w:abstractNumId w:val="2"/>
  </w:num>
  <w:num w:numId="6" w16cid:durableId="766391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0F5E1D"/>
    <w:rsid w:val="00125EE7"/>
    <w:rsid w:val="001556F9"/>
    <w:rsid w:val="001E273E"/>
    <w:rsid w:val="00291592"/>
    <w:rsid w:val="00326B23"/>
    <w:rsid w:val="00332111"/>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6B3E"/>
    <w:rsid w:val="00606A04"/>
    <w:rsid w:val="00654BB2"/>
    <w:rsid w:val="00680889"/>
    <w:rsid w:val="006A71F7"/>
    <w:rsid w:val="006B1470"/>
    <w:rsid w:val="006E1A35"/>
    <w:rsid w:val="006F63EE"/>
    <w:rsid w:val="006F66E3"/>
    <w:rsid w:val="006F7A6B"/>
    <w:rsid w:val="00701612"/>
    <w:rsid w:val="007467F1"/>
    <w:rsid w:val="0076787A"/>
    <w:rsid w:val="007B689A"/>
    <w:rsid w:val="007E1F86"/>
    <w:rsid w:val="00831F9E"/>
    <w:rsid w:val="00873596"/>
    <w:rsid w:val="008E1AB2"/>
    <w:rsid w:val="008F7080"/>
    <w:rsid w:val="00956E0D"/>
    <w:rsid w:val="009A636B"/>
    <w:rsid w:val="009D3C6C"/>
    <w:rsid w:val="009E3B76"/>
    <w:rsid w:val="00AF1F4A"/>
    <w:rsid w:val="00B3233B"/>
    <w:rsid w:val="00B574E5"/>
    <w:rsid w:val="00BC472D"/>
    <w:rsid w:val="00BE42B5"/>
    <w:rsid w:val="00C369FD"/>
    <w:rsid w:val="00CC7E06"/>
    <w:rsid w:val="00CD5C41"/>
    <w:rsid w:val="00CD7BE7"/>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aliases w:val="Normal numerado"/>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aliases w:val="Normal numerado Char"/>
    <w:link w:val="PargrafodaLista"/>
    <w:qFormat/>
    <w:rsid w:val="00AF1F4A"/>
    <w:rPr>
      <w:rFonts w:ascii="Times New Roman" w:eastAsia="Batang" w:hAnsi="Times New Roman"/>
    </w:rPr>
  </w:style>
  <w:style w:type="paragraph" w:customStyle="1" w:styleId="PARGRAFO">
    <w:name w:val="PARÁGRAFO"/>
    <w:basedOn w:val="Normal"/>
    <w:rsid w:val="006F63EE"/>
    <w:pPr>
      <w:spacing w:after="0" w:line="240" w:lineRule="auto"/>
      <w:ind w:firstLine="3402"/>
      <w:jc w:val="both"/>
    </w:pPr>
    <w:rPr>
      <w:rFonts w:ascii="Times New Roman" w:eastAsia="Times New Roman" w:hAnsi="Times New Roman"/>
      <w:spacing w:val="1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4138</Words>
  <Characters>22350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2023-07-10T23:47:00Z</dcterms:created>
  <dcterms:modified xsi:type="dcterms:W3CDTF">2023-07-10T23:47:00Z</dcterms:modified>
</cp:coreProperties>
</file>