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43B9E" w14:textId="4376872E" w:rsidR="004767F5" w:rsidRPr="001E0371" w:rsidRDefault="0044212A">
      <w:pPr>
        <w:spacing w:after="200" w:line="240" w:lineRule="auto"/>
        <w:jc w:val="right"/>
        <w:rPr>
          <w:rFonts w:cs="Calibri"/>
          <w:sz w:val="20"/>
          <w:szCs w:val="20"/>
        </w:rPr>
      </w:pPr>
      <w:r w:rsidRPr="001E0371">
        <w:rPr>
          <w:rFonts w:cs="Calibri"/>
          <w:sz w:val="20"/>
          <w:szCs w:val="20"/>
        </w:rPr>
        <w:tab/>
      </w:r>
    </w:p>
    <w:tbl>
      <w:tblPr>
        <w:tblpPr w:vertAnchor="text" w:tblpXSpec="right" w:tblpY="1"/>
        <w:tblOverlap w:val="never"/>
        <w:tblW w:w="9615" w:type="dxa"/>
        <w:tblCellSpacing w:w="0" w:type="dxa"/>
        <w:tblCellMar>
          <w:left w:w="0" w:type="dxa"/>
          <w:right w:w="0" w:type="dxa"/>
        </w:tblCellMar>
        <w:tblLook w:val="04A0" w:firstRow="1" w:lastRow="0" w:firstColumn="1" w:lastColumn="0" w:noHBand="0" w:noVBand="1"/>
      </w:tblPr>
      <w:tblGrid>
        <w:gridCol w:w="9615"/>
      </w:tblGrid>
      <w:tr w:rsidR="004767F5" w:rsidRPr="001E0371" w14:paraId="102EA6E8" w14:textId="77777777">
        <w:trPr>
          <w:tblCellSpacing w:w="0" w:type="dxa"/>
        </w:trPr>
        <w:tc>
          <w:tcPr>
            <w:tcW w:w="0" w:type="auto"/>
            <w:tcMar>
              <w:top w:w="0" w:type="dxa"/>
              <w:left w:w="0" w:type="dxa"/>
              <w:bottom w:w="0" w:type="dxa"/>
              <w:right w:w="0" w:type="dxa"/>
            </w:tcMar>
            <w:vAlign w:val="center"/>
            <w:hideMark/>
          </w:tcPr>
          <w:p w14:paraId="32701050" w14:textId="77777777" w:rsidR="004767F5" w:rsidRPr="001E0371" w:rsidRDefault="00291592">
            <w:pPr>
              <w:spacing w:after="0" w:line="240" w:lineRule="auto"/>
              <w:jc w:val="center"/>
              <w:rPr>
                <w:rFonts w:cs="Calibri"/>
                <w:color w:val="000000"/>
                <w:sz w:val="24"/>
                <w:szCs w:val="24"/>
              </w:rPr>
            </w:pPr>
            <w:r w:rsidRPr="001E0371">
              <w:rPr>
                <w:rFonts w:cs="Calibri"/>
                <w:noProof/>
                <w:color w:val="000000"/>
                <w:sz w:val="24"/>
                <w:szCs w:val="24"/>
              </w:rPr>
              <w:drawing>
                <wp:inline distT="0" distB="0" distL="0" distR="0" wp14:anchorId="2A2508D3" wp14:editId="69D058FF">
                  <wp:extent cx="1866900" cy="1343025"/>
                  <wp:effectExtent l="0" t="0" r="0" b="0"/>
                  <wp:docPr id="100002" name="Imagem 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r:embed="rId8"/>
                          <a:stretch>
                            <a:fillRect/>
                          </a:stretch>
                        </pic:blipFill>
                        <pic:spPr>
                          <a:xfrm>
                            <a:off x="0" y="0"/>
                            <a:ext cx="1866900" cy="1343025"/>
                          </a:xfrm>
                          <a:prstGeom prst="rect">
                            <a:avLst/>
                          </a:prstGeom>
                        </pic:spPr>
                      </pic:pic>
                    </a:graphicData>
                  </a:graphic>
                </wp:inline>
              </w:drawing>
            </w:r>
          </w:p>
        </w:tc>
      </w:tr>
    </w:tbl>
    <w:p w14:paraId="68C5BD96" w14:textId="77777777" w:rsidR="004767F5" w:rsidRPr="001E0371" w:rsidRDefault="00291592">
      <w:pPr>
        <w:spacing w:after="200" w:line="240" w:lineRule="auto"/>
        <w:jc w:val="both"/>
        <w:rPr>
          <w:rFonts w:cs="Calibri"/>
          <w:sz w:val="20"/>
          <w:szCs w:val="20"/>
        </w:rPr>
      </w:pPr>
      <w:r w:rsidRPr="001E0371">
        <w:rPr>
          <w:rFonts w:cs="Calibri"/>
          <w:sz w:val="20"/>
          <w:szCs w:val="20"/>
        </w:rPr>
        <w:t> </w:t>
      </w:r>
    </w:p>
    <w:p w14:paraId="05072340"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DDFF61C"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13F1824A" w14:textId="77777777" w:rsidR="004767F5" w:rsidRPr="001E0371" w:rsidRDefault="00291592">
      <w:pPr>
        <w:spacing w:before="200" w:after="200" w:line="240" w:lineRule="auto"/>
        <w:jc w:val="center"/>
        <w:rPr>
          <w:rFonts w:cs="Calibri"/>
          <w:sz w:val="20"/>
          <w:szCs w:val="20"/>
        </w:rPr>
      </w:pPr>
      <w:r w:rsidRPr="001E0371">
        <w:rPr>
          <w:rFonts w:cs="Calibri"/>
          <w:sz w:val="20"/>
          <w:szCs w:val="20"/>
        </w:rPr>
        <w:t> </w:t>
      </w:r>
    </w:p>
    <w:p w14:paraId="33201CF0"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202E4AC"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40B913E" w14:textId="77777777" w:rsidR="004767F5" w:rsidRPr="001E0371" w:rsidRDefault="00291592">
      <w:pPr>
        <w:spacing w:before="200" w:after="200" w:line="240" w:lineRule="auto"/>
        <w:jc w:val="both"/>
        <w:rPr>
          <w:rFonts w:cs="Calibri"/>
          <w:sz w:val="20"/>
          <w:szCs w:val="20"/>
        </w:rPr>
      </w:pPr>
      <w:r w:rsidRPr="001E0371">
        <w:rPr>
          <w:rFonts w:cs="Calibri"/>
          <w:sz w:val="20"/>
          <w:szCs w:val="20"/>
        </w:rPr>
        <w:t> </w:t>
      </w:r>
    </w:p>
    <w:p w14:paraId="7ACFF3FA" w14:textId="3D960FA1" w:rsidR="004767F5" w:rsidRPr="001E0371" w:rsidRDefault="00291592">
      <w:pPr>
        <w:spacing w:before="200" w:after="200" w:line="240" w:lineRule="auto"/>
        <w:rPr>
          <w:rFonts w:asciiTheme="minorHAnsi" w:hAnsiTheme="minorHAnsi" w:cstheme="minorHAnsi"/>
        </w:rPr>
      </w:pPr>
      <w:r w:rsidRPr="001E0371">
        <w:rPr>
          <w:rFonts w:asciiTheme="minorHAnsi" w:hAnsiTheme="minorHAnsi" w:cstheme="minorHAnsi"/>
          <w:b/>
          <w:bCs/>
        </w:rPr>
        <w:t xml:space="preserve">EXMO. SR. DR. JUIZ FEDERAL DA </w:t>
      </w:r>
      <w:r w:rsidR="001E0371">
        <w:rPr>
          <w:rFonts w:asciiTheme="minorHAnsi" w:hAnsiTheme="minorHAnsi" w:cstheme="minorHAnsi"/>
          <w:b/>
          <w:bCs/>
        </w:rPr>
        <w:t>3</w:t>
      </w:r>
      <w:r w:rsidRPr="001E0371">
        <w:rPr>
          <w:rFonts w:asciiTheme="minorHAnsi" w:hAnsiTheme="minorHAnsi" w:cstheme="minorHAnsi"/>
          <w:b/>
          <w:bCs/>
        </w:rPr>
        <w:t xml:space="preserve">ª VARA FEDERAL DA SUBSEÇÃO DE </w:t>
      </w:r>
      <w:r w:rsidR="001E0371">
        <w:rPr>
          <w:rFonts w:asciiTheme="minorHAnsi" w:hAnsiTheme="minorHAnsi" w:cstheme="minorHAnsi"/>
          <w:b/>
          <w:bCs/>
        </w:rPr>
        <w:t>CAXIAS DO SUL</w:t>
      </w:r>
      <w:r w:rsidRPr="001E0371">
        <w:rPr>
          <w:rFonts w:asciiTheme="minorHAnsi" w:hAnsiTheme="minorHAnsi" w:cstheme="minorHAnsi"/>
          <w:b/>
          <w:bCs/>
        </w:rPr>
        <w:t xml:space="preserve"> – SEÇÃO JUDICIÁRIA DO RIO GRANDE DO SUL</w:t>
      </w:r>
    </w:p>
    <w:p w14:paraId="16CFB2C9" w14:textId="77777777" w:rsidR="004767F5" w:rsidRPr="001E0371" w:rsidRDefault="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390A9153" w14:textId="77777777" w:rsidR="004767F5" w:rsidRPr="001E0371" w:rsidRDefault="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657601DB" w14:textId="77777777" w:rsidR="004767F5" w:rsidRPr="001E0371" w:rsidRDefault="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7B320D31" w14:textId="111B2A8D" w:rsidR="004767F5" w:rsidRPr="001E0371" w:rsidRDefault="00291592">
      <w:pPr>
        <w:spacing w:before="200" w:after="200" w:line="240" w:lineRule="auto"/>
        <w:jc w:val="both"/>
        <w:rPr>
          <w:rFonts w:asciiTheme="minorHAnsi" w:hAnsiTheme="minorHAnsi" w:cstheme="minorHAnsi"/>
          <w:b/>
          <w:bCs/>
        </w:rPr>
      </w:pPr>
      <w:r w:rsidRPr="001E0371">
        <w:rPr>
          <w:rFonts w:asciiTheme="minorHAnsi" w:hAnsiTheme="minorHAnsi" w:cstheme="minorHAnsi"/>
          <w:b/>
          <w:bCs/>
        </w:rPr>
        <w:t xml:space="preserve">Processo: </w:t>
      </w:r>
      <w:r w:rsidR="005A7ADB">
        <w:t>5005117-48.2023.4.04.7107/RS</w:t>
      </w:r>
    </w:p>
    <w:p w14:paraId="2A10DF5F" w14:textId="36D62CEF" w:rsidR="004767F5" w:rsidRPr="001E0371" w:rsidRDefault="00291592" w:rsidP="006B1470">
      <w:pPr>
        <w:spacing w:after="200" w:line="240" w:lineRule="auto"/>
        <w:rPr>
          <w:rFonts w:asciiTheme="minorHAnsi" w:hAnsiTheme="minorHAnsi" w:cstheme="minorHAnsi"/>
        </w:rPr>
      </w:pPr>
      <w:r w:rsidRPr="001E0371">
        <w:rPr>
          <w:rFonts w:asciiTheme="minorHAnsi" w:hAnsiTheme="minorHAnsi" w:cstheme="minorHAnsi"/>
        </w:rPr>
        <w:t> </w:t>
      </w:r>
    </w:p>
    <w:p w14:paraId="6455FDDA" w14:textId="77777777" w:rsidR="004767F5" w:rsidRPr="001E0371" w:rsidRDefault="00291592">
      <w:pPr>
        <w:spacing w:before="200" w:after="200" w:line="240" w:lineRule="auto"/>
        <w:rPr>
          <w:rFonts w:asciiTheme="minorHAnsi" w:hAnsiTheme="minorHAnsi" w:cstheme="minorHAnsi"/>
        </w:rPr>
      </w:pPr>
      <w:r w:rsidRPr="001E0371">
        <w:rPr>
          <w:rFonts w:asciiTheme="minorHAnsi" w:hAnsiTheme="minorHAnsi" w:cstheme="minorHAnsi"/>
        </w:rPr>
        <w:t> </w:t>
      </w:r>
    </w:p>
    <w:p w14:paraId="51F872D4" w14:textId="77777777" w:rsidR="004767F5" w:rsidRPr="001E0371" w:rsidRDefault="00291592">
      <w:pPr>
        <w:spacing w:before="200" w:after="200" w:line="240" w:lineRule="auto"/>
        <w:rPr>
          <w:rFonts w:asciiTheme="minorHAnsi" w:hAnsiTheme="minorHAnsi" w:cstheme="minorHAnsi"/>
        </w:rPr>
      </w:pPr>
      <w:r w:rsidRPr="001E0371">
        <w:rPr>
          <w:rFonts w:asciiTheme="minorHAnsi" w:hAnsiTheme="minorHAnsi" w:cstheme="minorHAnsi"/>
        </w:rPr>
        <w:t> </w:t>
      </w:r>
    </w:p>
    <w:p w14:paraId="767D76C0" w14:textId="31075E1B" w:rsidR="004767F5" w:rsidRPr="001E0371" w:rsidRDefault="006B1470" w:rsidP="004550DE">
      <w:pPr>
        <w:spacing w:before="200" w:after="200" w:line="240" w:lineRule="auto"/>
        <w:ind w:firstLine="1701"/>
        <w:jc w:val="both"/>
        <w:rPr>
          <w:rFonts w:asciiTheme="minorHAnsi" w:hAnsiTheme="minorHAnsi" w:cstheme="minorHAnsi"/>
        </w:rPr>
      </w:pPr>
      <w:r w:rsidRPr="001E0371">
        <w:rPr>
          <w:rFonts w:asciiTheme="minorHAnsi" w:hAnsiTheme="minorHAnsi" w:cstheme="minorHAnsi"/>
          <w:b/>
          <w:bCs/>
        </w:rPr>
        <w:t>CAIXA ECONÔMICA FEDERAL – CEF</w:t>
      </w:r>
      <w:r w:rsidRPr="001E0371">
        <w:rPr>
          <w:rFonts w:asciiTheme="minorHAnsi" w:hAnsiTheme="minorHAnsi" w:cstheme="minorHAnsi"/>
        </w:rPr>
        <w:t>, instituição financeira sob a forma de empresa pública, inscrita no CGC/MF sob n.º 00.360.305/1780-00, com sede em Brasília/DF e Escritório de Negócios neste Estado, com endereço na Rua dos Andradas, n.º 1000, em Porto Alegre/RS,</w:t>
      </w:r>
      <w:r w:rsidR="00291592" w:rsidRPr="001E0371">
        <w:rPr>
          <w:rFonts w:asciiTheme="minorHAnsi" w:hAnsiTheme="minorHAnsi" w:cstheme="minorHAnsi"/>
        </w:rPr>
        <w:t>, onde recebe citações, intimações e notificações de estilo, por seu advogado que esta subscreve, mandato incluso nos autos d</w:t>
      </w:r>
      <w:r w:rsidR="003D4F6E" w:rsidRPr="001E0371">
        <w:rPr>
          <w:rFonts w:asciiTheme="minorHAnsi" w:hAnsiTheme="minorHAnsi" w:cstheme="minorHAnsi"/>
        </w:rPr>
        <w:t>o</w:t>
      </w:r>
      <w:r w:rsidR="00291592" w:rsidRPr="001E0371">
        <w:rPr>
          <w:rFonts w:asciiTheme="minorHAnsi" w:hAnsiTheme="minorHAnsi" w:cstheme="minorHAnsi"/>
        </w:rPr>
        <w:t xml:space="preserve"> </w:t>
      </w:r>
      <w:r w:rsidR="001E0371">
        <w:rPr>
          <w:rFonts w:asciiTheme="minorHAnsi" w:hAnsiTheme="minorHAnsi" w:cstheme="minorHAnsi"/>
          <w:b/>
          <w:bCs/>
          <w:i/>
          <w:iCs/>
        </w:rPr>
        <w:t>CUMPRIMENTO DE SENTENÇA</w:t>
      </w:r>
      <w:r w:rsidR="00291592" w:rsidRPr="001E0371">
        <w:rPr>
          <w:rFonts w:asciiTheme="minorHAnsi" w:hAnsiTheme="minorHAnsi" w:cstheme="minorHAnsi"/>
          <w:b/>
          <w:bCs/>
          <w:i/>
          <w:iCs/>
        </w:rPr>
        <w:t xml:space="preserve">, </w:t>
      </w:r>
      <w:r w:rsidR="00291592" w:rsidRPr="001E0371">
        <w:rPr>
          <w:rFonts w:asciiTheme="minorHAnsi" w:hAnsiTheme="minorHAnsi" w:cstheme="minorHAnsi"/>
        </w:rPr>
        <w:t xml:space="preserve">que lhe promove </w:t>
      </w:r>
      <w:r w:rsidR="001E0371" w:rsidRPr="001E0371">
        <w:rPr>
          <w:rFonts w:asciiTheme="minorHAnsi" w:hAnsiTheme="minorHAnsi" w:cstheme="minorHAnsi"/>
          <w:b/>
          <w:bCs/>
        </w:rPr>
        <w:t>LEANDRO DA SILVA GALLIO</w:t>
      </w:r>
      <w:r w:rsidR="00291592" w:rsidRPr="001E0371">
        <w:rPr>
          <w:rFonts w:asciiTheme="minorHAnsi" w:hAnsiTheme="minorHAnsi" w:cstheme="minorHAnsi"/>
        </w:rPr>
        <w:t xml:space="preserve">, em trâmite perante este Douto Juízo, vem, </w:t>
      </w:r>
      <w:r w:rsidR="00291592" w:rsidRPr="001E0371">
        <w:rPr>
          <w:rFonts w:asciiTheme="minorHAnsi" w:hAnsiTheme="minorHAnsi" w:cstheme="minorHAnsi"/>
          <w:i/>
          <w:iCs/>
        </w:rPr>
        <w:t>mui</w:t>
      </w:r>
      <w:r w:rsidR="00291592" w:rsidRPr="001E0371">
        <w:rPr>
          <w:rFonts w:asciiTheme="minorHAnsi" w:hAnsiTheme="minorHAnsi" w:cstheme="minorHAnsi"/>
        </w:rPr>
        <w:t xml:space="preserve"> respeitosamente, à presença de Vossa Excelência,</w:t>
      </w:r>
      <w:r w:rsidR="004550DE">
        <w:rPr>
          <w:rFonts w:asciiTheme="minorHAnsi" w:hAnsiTheme="minorHAnsi" w:cstheme="minorHAnsi"/>
        </w:rPr>
        <w:t xml:space="preserve"> em atenção à decisão de evento 32</w:t>
      </w:r>
      <w:r w:rsidR="00291592" w:rsidRPr="001E0371">
        <w:rPr>
          <w:rFonts w:asciiTheme="minorHAnsi" w:hAnsiTheme="minorHAnsi" w:cstheme="minorHAnsi"/>
        </w:rPr>
        <w:t xml:space="preserve"> apresentar</w:t>
      </w:r>
      <w:r w:rsidR="004550DE">
        <w:rPr>
          <w:rFonts w:asciiTheme="minorHAnsi" w:hAnsiTheme="minorHAnsi" w:cstheme="minorHAnsi"/>
        </w:rPr>
        <w:t xml:space="preserve"> MANIFESTAÇÃO, c</w:t>
      </w:r>
      <w:r w:rsidR="00291592" w:rsidRPr="001E0371">
        <w:rPr>
          <w:rFonts w:asciiTheme="minorHAnsi" w:hAnsiTheme="minorHAnsi" w:cstheme="minorHAnsi"/>
        </w:rPr>
        <w:t>onsoante às razões de fato e de direito que passa a expor</w:t>
      </w:r>
    </w:p>
    <w:p w14:paraId="744401D4" w14:textId="77777777" w:rsidR="001E0371" w:rsidRPr="001E0371" w:rsidRDefault="001E0371" w:rsidP="001E0371">
      <w:pPr>
        <w:pStyle w:val="PargrafodaLista"/>
        <w:numPr>
          <w:ilvl w:val="0"/>
          <w:numId w:val="2"/>
        </w:numPr>
        <w:tabs>
          <w:tab w:val="left" w:pos="426"/>
        </w:tabs>
        <w:spacing w:line="320" w:lineRule="exact"/>
        <w:ind w:left="0" w:firstLine="0"/>
        <w:jc w:val="center"/>
        <w:rPr>
          <w:rFonts w:cstheme="minorHAnsi"/>
          <w:b/>
          <w:bCs/>
          <w:sz w:val="22"/>
          <w:szCs w:val="22"/>
          <w:lang w:val="pt-BR"/>
        </w:rPr>
      </w:pPr>
      <w:r w:rsidRPr="001E0371">
        <w:rPr>
          <w:rFonts w:cstheme="minorHAnsi"/>
          <w:b/>
          <w:bCs/>
          <w:smallCaps/>
          <w:sz w:val="22"/>
          <w:szCs w:val="22"/>
          <w:u w:val="single"/>
          <w:lang w:val="pt-BR"/>
        </w:rPr>
        <w:t>Breve resumo</w:t>
      </w:r>
    </w:p>
    <w:p w14:paraId="70070A50"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49D2CC76" w14:textId="65CBF682" w:rsidR="004438A4" w:rsidRDefault="001E0371" w:rsidP="001E0371">
      <w:pPr>
        <w:pStyle w:val="PargrafodaLista"/>
        <w:tabs>
          <w:tab w:val="left" w:pos="709"/>
        </w:tabs>
        <w:spacing w:line="320" w:lineRule="exact"/>
        <w:ind w:left="0"/>
        <w:jc w:val="both"/>
        <w:rPr>
          <w:rFonts w:cstheme="minorHAnsi"/>
          <w:bCs/>
          <w:iCs/>
          <w:sz w:val="22"/>
          <w:szCs w:val="22"/>
          <w:lang w:val="pt-BR"/>
        </w:rPr>
      </w:pPr>
      <w:r>
        <w:rPr>
          <w:rFonts w:cstheme="minorHAnsi"/>
          <w:bCs/>
          <w:iCs/>
          <w:sz w:val="22"/>
          <w:szCs w:val="22"/>
          <w:lang w:val="pt-BR"/>
        </w:rPr>
        <w:tab/>
      </w:r>
      <w:r w:rsidR="004438A4">
        <w:rPr>
          <w:rFonts w:cstheme="minorHAnsi"/>
          <w:bCs/>
          <w:iCs/>
          <w:sz w:val="22"/>
          <w:szCs w:val="22"/>
          <w:lang w:val="pt-BR"/>
        </w:rPr>
        <w:t xml:space="preserve">Exa., antes de mais nada, temos que o cerne do debate que prolonga o litígio entre as partes diz respeito à condenação </w:t>
      </w:r>
      <w:r w:rsidR="000901AA">
        <w:rPr>
          <w:rFonts w:cstheme="minorHAnsi"/>
          <w:bCs/>
          <w:iCs/>
          <w:sz w:val="22"/>
          <w:szCs w:val="22"/>
          <w:lang w:val="pt-BR"/>
        </w:rPr>
        <w:t>da CAIXA a título de danos materiais, no que tange à DEVOLUÇÃO DOS JUROS DE OBRA PAGOS APÓS O PRAZO PREVISTO PARA ENTREGA DO IMÓVEL (28/12/2018) ATÉ SUA EFETIVA ENTREGA (07/01/2020).</w:t>
      </w:r>
    </w:p>
    <w:p w14:paraId="512262D6" w14:textId="77777777" w:rsidR="000901AA" w:rsidRDefault="000901AA" w:rsidP="001E0371">
      <w:pPr>
        <w:pStyle w:val="PargrafodaLista"/>
        <w:tabs>
          <w:tab w:val="left" w:pos="709"/>
        </w:tabs>
        <w:spacing w:line="320" w:lineRule="exact"/>
        <w:ind w:left="0"/>
        <w:jc w:val="both"/>
        <w:rPr>
          <w:rFonts w:cstheme="minorHAnsi"/>
          <w:bCs/>
          <w:iCs/>
          <w:sz w:val="22"/>
          <w:szCs w:val="22"/>
          <w:lang w:val="pt-BR"/>
        </w:rPr>
      </w:pPr>
    </w:p>
    <w:p w14:paraId="582B6842" w14:textId="573D39FD" w:rsidR="000901AA" w:rsidRDefault="000901AA" w:rsidP="001E0371">
      <w:pPr>
        <w:pStyle w:val="PargrafodaLista"/>
        <w:tabs>
          <w:tab w:val="left" w:pos="709"/>
        </w:tabs>
        <w:spacing w:line="320" w:lineRule="exact"/>
        <w:ind w:left="0"/>
        <w:jc w:val="both"/>
        <w:rPr>
          <w:rFonts w:cstheme="minorHAnsi"/>
          <w:bCs/>
          <w:iCs/>
          <w:sz w:val="22"/>
          <w:szCs w:val="22"/>
          <w:lang w:val="pt-BR"/>
        </w:rPr>
      </w:pPr>
      <w:r>
        <w:rPr>
          <w:rFonts w:cstheme="minorHAnsi"/>
          <w:bCs/>
          <w:iCs/>
          <w:sz w:val="22"/>
          <w:szCs w:val="22"/>
          <w:lang w:val="pt-BR"/>
        </w:rPr>
        <w:tab/>
        <w:t>Nessa esteira, desde já questiona-se: ONDE ESTÃO OS COMPROVANTES DE PAGAMENTO DOS JUROS DE MORA PELA PARTE AUTORA DURANTE TAL INTERREGNO (28/12/2018 – 07/01/2020)? Uma vez apresentados tais comprovantes, a CAIXA procederá com a IMEDIATA DEVOLUÇÃO DOS VALORES.</w:t>
      </w:r>
    </w:p>
    <w:p w14:paraId="40C137C1" w14:textId="77777777" w:rsidR="000901AA" w:rsidRDefault="000901AA" w:rsidP="001E0371">
      <w:pPr>
        <w:pStyle w:val="PargrafodaLista"/>
        <w:tabs>
          <w:tab w:val="left" w:pos="709"/>
        </w:tabs>
        <w:spacing w:line="320" w:lineRule="exact"/>
        <w:ind w:left="0"/>
        <w:jc w:val="both"/>
        <w:rPr>
          <w:rFonts w:cstheme="minorHAnsi"/>
          <w:bCs/>
          <w:iCs/>
          <w:sz w:val="22"/>
          <w:szCs w:val="22"/>
          <w:lang w:val="pt-BR"/>
        </w:rPr>
      </w:pPr>
    </w:p>
    <w:p w14:paraId="34D0EC75" w14:textId="3E37FC6E" w:rsidR="000901AA" w:rsidRDefault="000901AA" w:rsidP="001E0371">
      <w:pPr>
        <w:pStyle w:val="PargrafodaLista"/>
        <w:tabs>
          <w:tab w:val="left" w:pos="709"/>
        </w:tabs>
        <w:spacing w:line="320" w:lineRule="exact"/>
        <w:ind w:left="0"/>
        <w:jc w:val="both"/>
        <w:rPr>
          <w:rFonts w:cstheme="minorHAnsi"/>
          <w:bCs/>
          <w:iCs/>
          <w:sz w:val="22"/>
          <w:szCs w:val="22"/>
          <w:lang w:val="pt-BR"/>
        </w:rPr>
      </w:pPr>
      <w:r>
        <w:rPr>
          <w:rFonts w:cstheme="minorHAnsi"/>
          <w:bCs/>
          <w:iCs/>
          <w:sz w:val="22"/>
          <w:szCs w:val="22"/>
          <w:lang w:val="pt-BR"/>
        </w:rPr>
        <w:tab/>
        <w:t>Ocorre que tal comprovação verifica-se IMPOSSÍVEL, porquanto os juros de obra após previsão de finalização da obra, por força contratual, conforme exaustivamente apresentado nos fólios processuais é de responsabilidade da CONSTRUTORA, logo, quem de fato procedeu com tais pagamentos.</w:t>
      </w:r>
    </w:p>
    <w:p w14:paraId="03F655B1" w14:textId="77777777" w:rsidR="000901AA" w:rsidRDefault="000901AA" w:rsidP="001E0371">
      <w:pPr>
        <w:pStyle w:val="PargrafodaLista"/>
        <w:tabs>
          <w:tab w:val="left" w:pos="709"/>
        </w:tabs>
        <w:spacing w:line="320" w:lineRule="exact"/>
        <w:ind w:left="0"/>
        <w:jc w:val="both"/>
        <w:rPr>
          <w:rFonts w:cstheme="minorHAnsi"/>
          <w:bCs/>
          <w:iCs/>
          <w:sz w:val="22"/>
          <w:szCs w:val="22"/>
          <w:lang w:val="pt-BR"/>
        </w:rPr>
      </w:pPr>
    </w:p>
    <w:p w14:paraId="2C1617FB" w14:textId="78B44C08" w:rsidR="000901AA" w:rsidRDefault="000901AA" w:rsidP="001E0371">
      <w:pPr>
        <w:pStyle w:val="PargrafodaLista"/>
        <w:tabs>
          <w:tab w:val="left" w:pos="709"/>
        </w:tabs>
        <w:spacing w:line="320" w:lineRule="exact"/>
        <w:ind w:left="0"/>
        <w:jc w:val="both"/>
        <w:rPr>
          <w:rFonts w:cstheme="minorHAnsi"/>
          <w:bCs/>
          <w:iCs/>
          <w:sz w:val="22"/>
          <w:szCs w:val="22"/>
          <w:lang w:val="pt-BR"/>
        </w:rPr>
      </w:pPr>
      <w:r>
        <w:rPr>
          <w:rFonts w:cstheme="minorHAnsi"/>
          <w:bCs/>
          <w:iCs/>
          <w:sz w:val="22"/>
          <w:szCs w:val="22"/>
          <w:lang w:val="pt-BR"/>
        </w:rPr>
        <w:tab/>
        <w:t>Assim sendo, por lógica, não cabe restituir à exequente, valores pagos por terceiros (construtora)!!</w:t>
      </w:r>
    </w:p>
    <w:p w14:paraId="4B56655A" w14:textId="77777777" w:rsidR="004438A4" w:rsidRDefault="004438A4" w:rsidP="001E0371">
      <w:pPr>
        <w:pStyle w:val="PargrafodaLista"/>
        <w:tabs>
          <w:tab w:val="left" w:pos="709"/>
        </w:tabs>
        <w:spacing w:line="320" w:lineRule="exact"/>
        <w:ind w:left="0"/>
        <w:jc w:val="both"/>
        <w:rPr>
          <w:rFonts w:cstheme="minorHAnsi"/>
          <w:bCs/>
          <w:iCs/>
          <w:sz w:val="22"/>
          <w:szCs w:val="22"/>
          <w:lang w:val="pt-BR"/>
        </w:rPr>
      </w:pPr>
    </w:p>
    <w:p w14:paraId="59239945" w14:textId="4FB7FE9F" w:rsidR="001E0371" w:rsidRPr="001E0371" w:rsidRDefault="004438A4" w:rsidP="001E0371">
      <w:pPr>
        <w:pStyle w:val="PargrafodaLista"/>
        <w:tabs>
          <w:tab w:val="left" w:pos="709"/>
        </w:tabs>
        <w:spacing w:line="320" w:lineRule="exact"/>
        <w:ind w:left="0"/>
        <w:jc w:val="both"/>
        <w:rPr>
          <w:rFonts w:cstheme="minorHAnsi"/>
          <w:sz w:val="22"/>
          <w:szCs w:val="22"/>
          <w:lang w:val="pt-BR"/>
        </w:rPr>
      </w:pPr>
      <w:r>
        <w:rPr>
          <w:rFonts w:cstheme="minorHAnsi"/>
          <w:bCs/>
          <w:iCs/>
          <w:sz w:val="22"/>
          <w:szCs w:val="22"/>
          <w:lang w:val="pt-BR"/>
        </w:rPr>
        <w:tab/>
      </w:r>
      <w:r w:rsidR="000901AA">
        <w:rPr>
          <w:rFonts w:cstheme="minorHAnsi"/>
          <w:bCs/>
          <w:iCs/>
          <w:sz w:val="22"/>
          <w:szCs w:val="22"/>
          <w:lang w:val="pt-BR"/>
        </w:rPr>
        <w:t>Prosseguindo e r</w:t>
      </w:r>
      <w:r w:rsidR="004550DE">
        <w:rPr>
          <w:rFonts w:cstheme="minorHAnsi"/>
          <w:bCs/>
          <w:iCs/>
          <w:sz w:val="22"/>
          <w:szCs w:val="22"/>
          <w:lang w:val="pt-BR"/>
        </w:rPr>
        <w:t>ememorando os autos, c</w:t>
      </w:r>
      <w:r w:rsidR="001E0371" w:rsidRPr="001E0371">
        <w:rPr>
          <w:rFonts w:cstheme="minorHAnsi"/>
          <w:bCs/>
          <w:iCs/>
          <w:sz w:val="22"/>
          <w:szCs w:val="22"/>
          <w:lang w:val="pt-BR"/>
        </w:rPr>
        <w:t>uida-se de ação obrigação de fazer c/c indenização por danos morais e materiais, em que o autor alega, em síntese, atraso na obra do imóvel adquirido.</w:t>
      </w:r>
    </w:p>
    <w:p w14:paraId="45BBCFCC"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511F95E2" w14:textId="2AC46F8F"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Com o avanço do processo foi prolatada sentença e ulteriormente proferido acórdão em razão de recurso de apelação interposto por ambas as partes, de modo que subsistiu a condenação a título de ressarcimento dos ditos JUROS DE OBRA, senão vejamos:</w:t>
      </w:r>
    </w:p>
    <w:p w14:paraId="43C5D199" w14:textId="77777777" w:rsidR="001E0371" w:rsidRPr="001E0371" w:rsidRDefault="001E0371" w:rsidP="001E0371">
      <w:pPr>
        <w:pStyle w:val="PargrafodaLista"/>
        <w:rPr>
          <w:rFonts w:cstheme="minorHAnsi"/>
          <w:sz w:val="22"/>
          <w:szCs w:val="22"/>
          <w:lang w:val="pt-BR"/>
        </w:rPr>
      </w:pPr>
    </w:p>
    <w:p w14:paraId="1706B3E6"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 xml:space="preserve">“No caso dos autos, o quadro QUALIFICAÇÃO DAS PARTES (evento 1, CONTR5) traz a ré unicamente como credora/fiduciária - constando a Suprema Empreendimentos Imobiliários Ltda. como vendedora, interveniente incorporadora, interveniente construtora e fiadora. Sendo a parte autora a compradora, devedora e fiduciante. </w:t>
      </w:r>
    </w:p>
    <w:p w14:paraId="773045CF"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11F30C70" w14:textId="77777777" w:rsidR="001E0371" w:rsidRPr="005A7ADB" w:rsidRDefault="001E0371" w:rsidP="001E0371">
      <w:pPr>
        <w:tabs>
          <w:tab w:val="left" w:pos="709"/>
        </w:tabs>
        <w:spacing w:line="320" w:lineRule="exact"/>
        <w:ind w:left="2268"/>
        <w:jc w:val="both"/>
        <w:rPr>
          <w:rFonts w:asciiTheme="minorHAnsi" w:hAnsiTheme="minorHAnsi" w:cstheme="minorHAnsi"/>
          <w:b/>
          <w:bCs/>
          <w:i/>
          <w:iCs/>
          <w:highlight w:val="yellow"/>
        </w:rPr>
      </w:pPr>
      <w:r w:rsidRPr="005A7ADB">
        <w:rPr>
          <w:rFonts w:asciiTheme="minorHAnsi" w:hAnsiTheme="minorHAnsi" w:cstheme="minorHAnsi"/>
          <w:b/>
          <w:bCs/>
          <w:i/>
          <w:iCs/>
          <w:highlight w:val="yellow"/>
        </w:rPr>
        <w:t xml:space="preserve">Portanto, não se vislumbra nenhuma das duas situações excepcionais que indicariam a legitimidade passiva da CAIXA, vez que não se observa a presença de entidade organizadora ou de imóvel pertencente ao Fundo de Arrendamento Residencial. </w:t>
      </w:r>
    </w:p>
    <w:p w14:paraId="3430F071" w14:textId="77777777" w:rsidR="001E0371" w:rsidRPr="005A7ADB" w:rsidRDefault="001E0371" w:rsidP="001E0371">
      <w:pPr>
        <w:tabs>
          <w:tab w:val="left" w:pos="709"/>
        </w:tabs>
        <w:spacing w:line="320" w:lineRule="exact"/>
        <w:ind w:left="2268"/>
        <w:jc w:val="both"/>
        <w:rPr>
          <w:rFonts w:asciiTheme="minorHAnsi" w:hAnsiTheme="minorHAnsi" w:cstheme="minorHAnsi"/>
          <w:b/>
          <w:bCs/>
          <w:i/>
          <w:iCs/>
          <w:highlight w:val="yellow"/>
        </w:rPr>
      </w:pPr>
    </w:p>
    <w:p w14:paraId="5484EB07" w14:textId="77777777" w:rsidR="001E0371" w:rsidRPr="005A7ADB" w:rsidRDefault="001E0371" w:rsidP="001E0371">
      <w:pPr>
        <w:tabs>
          <w:tab w:val="left" w:pos="709"/>
        </w:tabs>
        <w:spacing w:line="320" w:lineRule="exact"/>
        <w:ind w:left="2268"/>
        <w:jc w:val="both"/>
        <w:rPr>
          <w:rFonts w:asciiTheme="minorHAnsi" w:hAnsiTheme="minorHAnsi" w:cstheme="minorHAnsi"/>
          <w:b/>
          <w:bCs/>
          <w:i/>
          <w:iCs/>
        </w:rPr>
      </w:pPr>
      <w:r w:rsidRPr="005A7ADB">
        <w:rPr>
          <w:rFonts w:asciiTheme="minorHAnsi" w:hAnsiTheme="minorHAnsi" w:cstheme="minorHAnsi"/>
          <w:b/>
          <w:bCs/>
          <w:i/>
          <w:iCs/>
          <w:highlight w:val="yellow"/>
        </w:rPr>
        <w:t>Dessa forma, verificado o envolvimento da CAIXA apenas na qualidade de agente financeiro, a sua permanência no polo passivo da demanda não se justifica, no que tange aos pedidos de danos morais e materiais decorrentes do atraso na entrega da obra.</w:t>
      </w:r>
      <w:r w:rsidRPr="005A7ADB">
        <w:rPr>
          <w:rFonts w:asciiTheme="minorHAnsi" w:hAnsiTheme="minorHAnsi" w:cstheme="minorHAnsi"/>
          <w:b/>
          <w:bCs/>
          <w:i/>
          <w:iCs/>
        </w:rPr>
        <w:t xml:space="preserve"> </w:t>
      </w:r>
    </w:p>
    <w:p w14:paraId="0A394C6E"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5335C61E"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Neste ponto, reconheço que o processo deve ser extinto sem resolução do mérito, com base no art. 485, VI, do CPC, sendo acolhido o recurso da ré e não assistindo razão ao recurso da parte autora (relativamente aos pedidos indenizatórios).</w:t>
      </w:r>
    </w:p>
    <w:p w14:paraId="50FE428A"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454B9993"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 xml:space="preserve">No entanto, tendo em vista que a presente ação também tem por objeto a </w:t>
      </w:r>
      <w:r w:rsidRPr="004550DE">
        <w:rPr>
          <w:rFonts w:asciiTheme="minorHAnsi" w:hAnsiTheme="minorHAnsi" w:cstheme="minorHAnsi"/>
          <w:b/>
          <w:bCs/>
          <w:i/>
          <w:iCs/>
        </w:rPr>
        <w:t>repetição dos juros de obra, após o término do prazo de construção previsto no contrato de mútuo, nesse aspecto, afigura-se inafastável a legitimidade da empresa pública, na medida em que é a responsável pela cobrança impugnada.</w:t>
      </w:r>
    </w:p>
    <w:p w14:paraId="004F7665"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037DB9F1" w14:textId="77777777" w:rsidR="001E0371" w:rsidRPr="001E0371" w:rsidRDefault="001E0371" w:rsidP="001E0371">
      <w:pPr>
        <w:tabs>
          <w:tab w:val="left" w:pos="709"/>
        </w:tabs>
        <w:spacing w:line="320" w:lineRule="exact"/>
        <w:ind w:left="2268"/>
        <w:jc w:val="both"/>
        <w:rPr>
          <w:rFonts w:asciiTheme="minorHAnsi" w:hAnsiTheme="minorHAnsi" w:cstheme="minorHAnsi"/>
          <w:b/>
          <w:bCs/>
          <w:i/>
          <w:iCs/>
        </w:rPr>
      </w:pPr>
      <w:r w:rsidRPr="001E0371">
        <w:rPr>
          <w:rFonts w:asciiTheme="minorHAnsi" w:hAnsiTheme="minorHAnsi" w:cstheme="minorHAnsi"/>
          <w:b/>
          <w:bCs/>
          <w:i/>
          <w:iCs/>
        </w:rPr>
        <w:t xml:space="preserve">Dos juros de obra </w:t>
      </w:r>
    </w:p>
    <w:p w14:paraId="0952FD57"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p>
    <w:p w14:paraId="4FCDA997" w14:textId="0C42A63F" w:rsid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No que respeita aos aspectos impugnados no recurso quanto aos juros de obra, constato que a sentença, analisando o acervo probatório contido nos autos, solucionou adequadamente a lide, razão pela qual a mantenho pelos seus próprios fundamentos</w:t>
      </w:r>
      <w:r w:rsidR="005A1A13">
        <w:rPr>
          <w:rFonts w:asciiTheme="minorHAnsi" w:hAnsiTheme="minorHAnsi" w:cstheme="minorHAnsi"/>
          <w:i/>
          <w:iCs/>
        </w:rPr>
        <w:t>.</w:t>
      </w:r>
    </w:p>
    <w:p w14:paraId="6CB050D0" w14:textId="77777777" w:rsidR="005A1A13" w:rsidRDefault="005A1A13" w:rsidP="001E0371">
      <w:pPr>
        <w:tabs>
          <w:tab w:val="left" w:pos="709"/>
        </w:tabs>
        <w:spacing w:line="320" w:lineRule="exact"/>
        <w:ind w:left="2268"/>
        <w:jc w:val="both"/>
        <w:rPr>
          <w:rFonts w:asciiTheme="minorHAnsi" w:hAnsiTheme="minorHAnsi" w:cstheme="minorHAnsi"/>
          <w:i/>
          <w:iCs/>
        </w:rPr>
      </w:pPr>
    </w:p>
    <w:p w14:paraId="3947A943" w14:textId="18E98905" w:rsidR="005A1A13" w:rsidRPr="005A1A13" w:rsidRDefault="005A1A13" w:rsidP="001E0371">
      <w:pPr>
        <w:tabs>
          <w:tab w:val="left" w:pos="709"/>
        </w:tabs>
        <w:spacing w:line="320" w:lineRule="exact"/>
        <w:ind w:left="2268"/>
        <w:jc w:val="both"/>
        <w:rPr>
          <w:rFonts w:asciiTheme="minorHAnsi" w:hAnsiTheme="minorHAnsi" w:cstheme="minorHAnsi"/>
          <w:b/>
          <w:bCs/>
          <w:i/>
          <w:iCs/>
        </w:rPr>
      </w:pPr>
      <w:r w:rsidRPr="005A7ADB">
        <w:rPr>
          <w:rFonts w:asciiTheme="minorHAnsi" w:hAnsiTheme="minorHAnsi" w:cstheme="minorHAnsi"/>
          <w:b/>
          <w:bCs/>
          <w:i/>
          <w:iCs/>
          <w:highlight w:val="yellow"/>
        </w:rPr>
        <w:t>Em suma, a parte autora fica obrigada ao pagamento dos encargos de construção (cláusula 3, II do evento 1, CONTR5) somente até término do prazo destinado para essa fase; até 28/10/2018, inclusive. A parte autora fica exonerada dos seus pagamentos a partir de 28/12/2018 (considerando o</w:t>
      </w:r>
      <w:r w:rsidRPr="005A7ADB">
        <w:rPr>
          <w:rFonts w:asciiTheme="minorHAnsi" w:hAnsiTheme="minorHAnsi" w:cstheme="minorHAnsi"/>
          <w:b/>
          <w:bCs/>
          <w:i/>
          <w:iCs/>
          <w:highlight w:val="yellow"/>
        </w:rPr>
        <w:t xml:space="preserve"> </w:t>
      </w:r>
      <w:r w:rsidRPr="005A7ADB">
        <w:rPr>
          <w:rFonts w:asciiTheme="minorHAnsi" w:hAnsiTheme="minorHAnsi" w:cstheme="minorHAnsi"/>
          <w:b/>
          <w:bCs/>
          <w:i/>
          <w:iCs/>
          <w:highlight w:val="yellow"/>
        </w:rPr>
        <w:t>atraso na entrega da obra) até 07/01/2020 (quando ocorreu a efetiva entrega do imóvel).</w:t>
      </w:r>
    </w:p>
    <w:p w14:paraId="4ED48357"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t>(…)</w:t>
      </w:r>
    </w:p>
    <w:p w14:paraId="511CC0D8" w14:textId="77777777" w:rsidR="001E0371" w:rsidRPr="001E0371" w:rsidRDefault="001E0371" w:rsidP="001E0371">
      <w:pPr>
        <w:tabs>
          <w:tab w:val="left" w:pos="709"/>
        </w:tabs>
        <w:spacing w:line="320" w:lineRule="exact"/>
        <w:ind w:left="2268"/>
        <w:jc w:val="both"/>
        <w:rPr>
          <w:rFonts w:asciiTheme="minorHAnsi" w:hAnsiTheme="minorHAnsi" w:cstheme="minorHAnsi"/>
          <w:i/>
          <w:iCs/>
        </w:rPr>
      </w:pPr>
      <w:r w:rsidRPr="001E0371">
        <w:rPr>
          <w:rFonts w:asciiTheme="minorHAnsi" w:hAnsiTheme="minorHAnsi" w:cstheme="minorHAnsi"/>
          <w:i/>
          <w:iCs/>
        </w:rPr>
        <w:lastRenderedPageBreak/>
        <w:t>O voto é por, quanto aos pedidos de condenação ao pagamento por danos morais e materiais, dar por prejudicado o recurso da parte autora e dar provimento ao recurso da parte ré, nos termos da fundamentação. Quanto ao pedido relativo à cobrança de juros de obra, nego provimento aos recursos.”</w:t>
      </w:r>
    </w:p>
    <w:p w14:paraId="571F08F1"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sidRPr="001E0371">
        <w:rPr>
          <w:rFonts w:cstheme="minorHAnsi"/>
          <w:bCs/>
          <w:iCs/>
          <w:sz w:val="22"/>
          <w:szCs w:val="22"/>
          <w:lang w:val="pt-BR"/>
        </w:rPr>
        <w:t xml:space="preserve"> </w:t>
      </w:r>
    </w:p>
    <w:p w14:paraId="2574D26B" w14:textId="77777777" w:rsidR="004550DE" w:rsidRDefault="001E0371" w:rsidP="004550DE">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Diante da situação colocada, o autor, ora exequente entendeu por deflagrar cumprimento de sentença provisório, buscando a repetição dos juros de obra.</w:t>
      </w:r>
      <w:r w:rsidR="004550DE">
        <w:rPr>
          <w:rFonts w:cstheme="minorHAnsi"/>
          <w:sz w:val="22"/>
          <w:szCs w:val="22"/>
          <w:lang w:val="pt-BR"/>
        </w:rPr>
        <w:t xml:space="preserve"> </w:t>
      </w:r>
    </w:p>
    <w:p w14:paraId="0FDBFA00" w14:textId="77777777" w:rsidR="004550DE" w:rsidRDefault="004550DE" w:rsidP="004550DE">
      <w:pPr>
        <w:pStyle w:val="PargrafodaLista"/>
        <w:tabs>
          <w:tab w:val="left" w:pos="709"/>
        </w:tabs>
        <w:spacing w:line="320" w:lineRule="exact"/>
        <w:ind w:left="0"/>
        <w:jc w:val="both"/>
        <w:rPr>
          <w:rFonts w:cstheme="minorHAnsi"/>
          <w:sz w:val="22"/>
          <w:szCs w:val="22"/>
          <w:lang w:val="pt-BR"/>
        </w:rPr>
      </w:pPr>
    </w:p>
    <w:p w14:paraId="75CE0C3C" w14:textId="68179062" w:rsidR="004550DE" w:rsidRDefault="004550DE" w:rsidP="004550DE">
      <w:pPr>
        <w:pStyle w:val="PargrafodaLista"/>
        <w:tabs>
          <w:tab w:val="left" w:pos="709"/>
        </w:tabs>
        <w:spacing w:line="320" w:lineRule="exact"/>
        <w:ind w:left="0"/>
        <w:jc w:val="both"/>
        <w:rPr>
          <w:rFonts w:cstheme="minorHAnsi"/>
          <w:lang w:val="pt-BR"/>
        </w:rPr>
      </w:pPr>
      <w:r>
        <w:rPr>
          <w:rFonts w:cstheme="minorHAnsi"/>
          <w:sz w:val="22"/>
          <w:szCs w:val="22"/>
          <w:lang w:val="pt-BR"/>
        </w:rPr>
        <w:tab/>
      </w:r>
      <w:r w:rsidRPr="005A7ADB">
        <w:rPr>
          <w:rFonts w:cstheme="minorHAnsi"/>
          <w:highlight w:val="yellow"/>
          <w:lang w:val="pt-BR"/>
        </w:rPr>
        <w:t xml:space="preserve">Assim, sendo o cerne do debate nesta peça é </w:t>
      </w:r>
      <w:r w:rsidRPr="005A7ADB">
        <w:rPr>
          <w:rFonts w:cstheme="minorHAnsi"/>
          <w:highlight w:val="yellow"/>
          <w:lang w:val="pt-BR"/>
        </w:rPr>
        <w:t>a DEVOLUÇÃO dos juros de obra</w:t>
      </w:r>
      <w:r w:rsidRPr="005A7ADB">
        <w:rPr>
          <w:rFonts w:cstheme="minorHAnsi"/>
          <w:highlight w:val="yellow"/>
          <w:lang w:val="pt-BR"/>
        </w:rPr>
        <w:t>, que se revela como a devolução do</w:t>
      </w:r>
      <w:r w:rsidR="005A1A13" w:rsidRPr="005A7ADB">
        <w:rPr>
          <w:rFonts w:cstheme="minorHAnsi"/>
          <w:highlight w:val="yellow"/>
          <w:lang w:val="pt-BR"/>
        </w:rPr>
        <w:t>s</w:t>
      </w:r>
      <w:r w:rsidRPr="005A7ADB">
        <w:rPr>
          <w:rFonts w:cstheme="minorHAnsi"/>
          <w:highlight w:val="yellow"/>
          <w:lang w:val="pt-BR"/>
        </w:rPr>
        <w:t xml:space="preserve"> </w:t>
      </w:r>
      <w:r w:rsidR="005A1A13" w:rsidRPr="005A7ADB">
        <w:rPr>
          <w:rFonts w:cstheme="minorHAnsi"/>
          <w:b/>
          <w:bCs/>
          <w:highlight w:val="yellow"/>
          <w:u w:val="single"/>
          <w:lang w:val="pt-BR"/>
        </w:rPr>
        <w:t>valores PAGOS desde o prazo previsto para conclusão (28/10/2018) até sua efetiva entrega (07/01/2020)</w:t>
      </w:r>
      <w:r w:rsidRPr="005A7ADB">
        <w:rPr>
          <w:rFonts w:cstheme="minorHAnsi"/>
          <w:highlight w:val="yellow"/>
          <w:lang w:val="pt-BR"/>
        </w:rPr>
        <w:t>.</w:t>
      </w:r>
    </w:p>
    <w:p w14:paraId="3CC92948" w14:textId="77777777" w:rsidR="005A1A13" w:rsidRDefault="005A1A13" w:rsidP="004550DE">
      <w:pPr>
        <w:pStyle w:val="PargrafodaLista"/>
        <w:tabs>
          <w:tab w:val="left" w:pos="709"/>
        </w:tabs>
        <w:spacing w:line="320" w:lineRule="exact"/>
        <w:ind w:left="0"/>
        <w:jc w:val="both"/>
        <w:rPr>
          <w:rFonts w:cstheme="minorHAnsi"/>
          <w:lang w:val="pt-BR"/>
        </w:rPr>
      </w:pPr>
    </w:p>
    <w:p w14:paraId="468DFA2A" w14:textId="77777777" w:rsidR="005A1A13" w:rsidRDefault="005A1A13" w:rsidP="004550DE">
      <w:pPr>
        <w:pStyle w:val="PargrafodaLista"/>
        <w:tabs>
          <w:tab w:val="left" w:pos="709"/>
        </w:tabs>
        <w:spacing w:line="320" w:lineRule="exact"/>
        <w:ind w:left="0"/>
        <w:jc w:val="both"/>
        <w:rPr>
          <w:rFonts w:cstheme="minorHAnsi"/>
          <w:lang w:val="pt-BR"/>
        </w:rPr>
      </w:pPr>
    </w:p>
    <w:p w14:paraId="05B0CA35" w14:textId="77777777" w:rsidR="005A1A13" w:rsidRDefault="005A1A13" w:rsidP="004550DE">
      <w:pPr>
        <w:pStyle w:val="PargrafodaLista"/>
        <w:tabs>
          <w:tab w:val="left" w:pos="709"/>
        </w:tabs>
        <w:spacing w:line="320" w:lineRule="exact"/>
        <w:ind w:left="0"/>
        <w:jc w:val="both"/>
        <w:rPr>
          <w:rFonts w:cstheme="minorHAnsi"/>
          <w:lang w:val="pt-BR"/>
        </w:rPr>
      </w:pPr>
    </w:p>
    <w:p w14:paraId="33365986" w14:textId="77777777" w:rsidR="005A1A13" w:rsidRDefault="005A1A13" w:rsidP="004550DE">
      <w:pPr>
        <w:pStyle w:val="PargrafodaLista"/>
        <w:tabs>
          <w:tab w:val="left" w:pos="709"/>
        </w:tabs>
        <w:spacing w:line="320" w:lineRule="exact"/>
        <w:ind w:left="0"/>
        <w:jc w:val="both"/>
        <w:rPr>
          <w:rFonts w:cstheme="minorHAnsi"/>
          <w:lang w:val="pt-BR"/>
        </w:rPr>
      </w:pPr>
    </w:p>
    <w:p w14:paraId="131A3608" w14:textId="77777777" w:rsidR="005A1A13" w:rsidRDefault="005A1A13" w:rsidP="004550DE">
      <w:pPr>
        <w:pStyle w:val="PargrafodaLista"/>
        <w:tabs>
          <w:tab w:val="left" w:pos="709"/>
        </w:tabs>
        <w:spacing w:line="320" w:lineRule="exact"/>
        <w:ind w:left="0"/>
        <w:jc w:val="both"/>
        <w:rPr>
          <w:rFonts w:cstheme="minorHAnsi"/>
          <w:lang w:val="pt-BR"/>
        </w:rPr>
      </w:pPr>
    </w:p>
    <w:p w14:paraId="75BB1DD0" w14:textId="77777777" w:rsidR="005A1A13" w:rsidRDefault="005A1A13" w:rsidP="005A1A13">
      <w:pPr>
        <w:tabs>
          <w:tab w:val="left" w:pos="709"/>
        </w:tabs>
        <w:spacing w:line="320" w:lineRule="exact"/>
        <w:jc w:val="both"/>
        <w:rPr>
          <w:rFonts w:cstheme="minorHAnsi"/>
        </w:rPr>
      </w:pPr>
    </w:p>
    <w:p w14:paraId="033D3113" w14:textId="4303D323" w:rsidR="004550DE" w:rsidRPr="001E0371" w:rsidRDefault="005A1A13" w:rsidP="005A1A13">
      <w:pPr>
        <w:tabs>
          <w:tab w:val="left" w:pos="709"/>
        </w:tabs>
        <w:spacing w:line="320" w:lineRule="exact"/>
        <w:jc w:val="both"/>
        <w:rPr>
          <w:rFonts w:cstheme="minorHAnsi"/>
        </w:rPr>
      </w:pPr>
      <w:r w:rsidRPr="005A1A13">
        <w:rPr>
          <w:rFonts w:cstheme="minorHAnsi"/>
        </w:rPr>
        <w:tab/>
      </w:r>
    </w:p>
    <w:p w14:paraId="0978A9A2"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75105A28" w14:textId="00AFC5AB"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bCs/>
          <w:iCs/>
          <w:sz w:val="22"/>
          <w:szCs w:val="22"/>
          <w:lang w:val="pt-BR"/>
        </w:rPr>
        <w:tab/>
      </w:r>
      <w:r w:rsidR="005A1A13">
        <w:rPr>
          <w:rFonts w:cstheme="minorHAnsi"/>
          <w:bCs/>
          <w:iCs/>
          <w:sz w:val="22"/>
          <w:szCs w:val="22"/>
          <w:lang w:val="pt-BR"/>
        </w:rPr>
        <w:t>Porém, antes de mais nada</w:t>
      </w:r>
      <w:r w:rsidRPr="001E0371">
        <w:rPr>
          <w:rFonts w:cstheme="minorHAnsi"/>
          <w:bCs/>
          <w:iCs/>
          <w:sz w:val="22"/>
          <w:szCs w:val="22"/>
          <w:lang w:val="pt-BR"/>
        </w:rPr>
        <w:t xml:space="preserve"> é curial destacar </w:t>
      </w:r>
      <w:r w:rsidRPr="005A1A13">
        <w:rPr>
          <w:rFonts w:cstheme="minorHAnsi"/>
          <w:b/>
          <w:iCs/>
          <w:sz w:val="22"/>
          <w:szCs w:val="22"/>
          <w:u w:val="single"/>
          <w:lang w:val="pt-BR"/>
        </w:rPr>
        <w:t>a cobrança que se reclama restituição em momento algum foi quitado pela parte autora</w:t>
      </w:r>
      <w:r w:rsidRPr="001E0371">
        <w:rPr>
          <w:rFonts w:cstheme="minorHAnsi"/>
          <w:bCs/>
          <w:iCs/>
          <w:sz w:val="22"/>
          <w:szCs w:val="22"/>
          <w:lang w:val="pt-BR"/>
        </w:rPr>
        <w:t>. Explica-se: Todas as prestações pagas no período compreendido entre o termo inicial (atraso da obra: 28/12/2018) e o termo final (entrega do imóvel: 07/01/2020) estipulados na sentença foram INTEGRALMENTE QUITADAS PELA CONSTRUTORA, MORMENTE POR FIGURAR CONTRATUALMENTE NA QUALIDADE DE FIADORA DO CONTRATO.</w:t>
      </w:r>
    </w:p>
    <w:p w14:paraId="0F5F941D" w14:textId="77777777" w:rsidR="001E0371" w:rsidRPr="001E0371" w:rsidRDefault="001E0371" w:rsidP="001E0371">
      <w:pPr>
        <w:pStyle w:val="PargrafodaLista"/>
        <w:rPr>
          <w:rFonts w:cstheme="minorHAnsi"/>
          <w:sz w:val="22"/>
          <w:szCs w:val="22"/>
          <w:lang w:val="pt-BR"/>
        </w:rPr>
      </w:pPr>
    </w:p>
    <w:p w14:paraId="4495035A" w14:textId="77777777" w:rsid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p>
    <w:p w14:paraId="60C1DF72" w14:textId="04C7B90A"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Assim, segue irrefutavelmente comprovado na planilha de evolução indexada à presente impugnação, com o Código 922 até 959, que não houve </w:t>
      </w:r>
      <w:r w:rsidR="005A1A13" w:rsidRPr="001E0371">
        <w:rPr>
          <w:rFonts w:cstheme="minorHAnsi"/>
          <w:sz w:val="22"/>
          <w:szCs w:val="22"/>
          <w:lang w:val="pt-BR"/>
        </w:rPr>
        <w:t>qualquer</w:t>
      </w:r>
      <w:r w:rsidRPr="001E0371">
        <w:rPr>
          <w:rFonts w:cstheme="minorHAnsi"/>
          <w:sz w:val="22"/>
          <w:szCs w:val="22"/>
          <w:lang w:val="pt-BR"/>
        </w:rPr>
        <w:t xml:space="preserve"> pagamento a título de juros de obra por parte do autor, de modo que é impertinente o pedido de repetição, tornando inexequível o título que embasou o cumprimento de sentença!</w:t>
      </w:r>
    </w:p>
    <w:p w14:paraId="08A5FA20" w14:textId="77777777" w:rsidR="001E0371" w:rsidRPr="001E0371" w:rsidRDefault="001E0371" w:rsidP="001E0371">
      <w:pPr>
        <w:pStyle w:val="PargrafodaLista"/>
        <w:rPr>
          <w:rFonts w:cstheme="minorHAnsi"/>
          <w:sz w:val="22"/>
          <w:szCs w:val="22"/>
          <w:lang w:val="pt-BR"/>
        </w:rPr>
      </w:pPr>
    </w:p>
    <w:p w14:paraId="62794BB4" w14:textId="74E22689"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Corrobora a informação trazida aos autos, o fato da parte exequente não apresentar qualquer comprovação dos valores que busca ser ressarcido. Evidente que não é concebível supor a restituição de valores que não foram desembolsados, posto que configuraria flagrante enriquecimento ilícito, sabidamente vedado pelo ordenamento jurídico pátrio.</w:t>
      </w:r>
    </w:p>
    <w:p w14:paraId="625A2D6D" w14:textId="77777777" w:rsidR="001E0371" w:rsidRPr="001E0371" w:rsidRDefault="001E0371" w:rsidP="001E0371">
      <w:pPr>
        <w:pStyle w:val="PargrafodaLista"/>
        <w:rPr>
          <w:rFonts w:cstheme="minorHAnsi"/>
          <w:sz w:val="22"/>
          <w:szCs w:val="22"/>
          <w:lang w:val="pt-BR"/>
        </w:rPr>
      </w:pPr>
    </w:p>
    <w:p w14:paraId="388DA429" w14:textId="739BB6D2" w:rsid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Logo, é condição </w:t>
      </w:r>
      <w:r w:rsidRPr="001E0371">
        <w:rPr>
          <w:rFonts w:cstheme="minorHAnsi"/>
          <w:i/>
          <w:iCs/>
          <w:sz w:val="22"/>
          <w:szCs w:val="22"/>
          <w:lang w:val="pt-BR"/>
        </w:rPr>
        <w:t>sine qua non</w:t>
      </w:r>
      <w:r w:rsidRPr="001E0371">
        <w:rPr>
          <w:rFonts w:cstheme="minorHAnsi"/>
          <w:sz w:val="22"/>
          <w:szCs w:val="22"/>
          <w:lang w:val="pt-BR"/>
        </w:rPr>
        <w:t xml:space="preserve"> a uma possível restituição, que a parte autora comprove que de fato PAGOU os valores que busca ser restituíd</w:t>
      </w:r>
      <w:r>
        <w:rPr>
          <w:rFonts w:cstheme="minorHAnsi"/>
          <w:sz w:val="22"/>
          <w:szCs w:val="22"/>
          <w:lang w:val="pt-BR"/>
        </w:rPr>
        <w:t>a</w:t>
      </w:r>
      <w:r w:rsidRPr="001E0371">
        <w:rPr>
          <w:rFonts w:cstheme="minorHAnsi"/>
          <w:sz w:val="22"/>
          <w:szCs w:val="22"/>
          <w:lang w:val="pt-BR"/>
        </w:rPr>
        <w:t>, consoante determina o art. 373, I, CPC.</w:t>
      </w:r>
    </w:p>
    <w:p w14:paraId="4619CCE1" w14:textId="77777777" w:rsidR="005A1A13" w:rsidRDefault="005A1A13" w:rsidP="001E0371">
      <w:pPr>
        <w:pStyle w:val="PargrafodaLista"/>
        <w:tabs>
          <w:tab w:val="left" w:pos="709"/>
        </w:tabs>
        <w:spacing w:line="320" w:lineRule="exact"/>
        <w:ind w:left="0"/>
        <w:jc w:val="both"/>
        <w:rPr>
          <w:rFonts w:cstheme="minorHAnsi"/>
          <w:sz w:val="22"/>
          <w:szCs w:val="22"/>
          <w:lang w:val="pt-BR"/>
        </w:rPr>
      </w:pPr>
    </w:p>
    <w:p w14:paraId="13D00E77" w14:textId="182EB6C8" w:rsidR="005A1A13" w:rsidRPr="005A1A13" w:rsidRDefault="005A1A13" w:rsidP="005A1A13">
      <w:pPr>
        <w:jc w:val="both"/>
        <w:rPr>
          <w:rFonts w:asciiTheme="minorHAnsi" w:eastAsiaTheme="minorEastAsia" w:hAnsiTheme="minorHAnsi" w:cstheme="minorHAnsi"/>
          <w:lang w:eastAsia="ja-JP"/>
        </w:rPr>
      </w:pPr>
      <w:r>
        <w:rPr>
          <w:rFonts w:cstheme="minorHAnsi"/>
        </w:rPr>
        <w:tab/>
        <w:t xml:space="preserve">Por fim, ainda constatamos que </w:t>
      </w:r>
      <w:r w:rsidRPr="005A1A13">
        <w:rPr>
          <w:rFonts w:asciiTheme="minorHAnsi" w:eastAsiaTheme="minorEastAsia" w:hAnsiTheme="minorHAnsi" w:cstheme="minorHAnsi"/>
          <w:lang w:eastAsia="ja-JP"/>
        </w:rPr>
        <w:t>a parte exequente apresenta em sua planilha de débitos, valores referentes à totalidade das faturas, referentes aos meses de Dezembro/2017 até Março/2018, olvidando-se aos limites da decisão condenatória.</w:t>
      </w:r>
    </w:p>
    <w:p w14:paraId="2D966245" w14:textId="2FC79F15" w:rsidR="005A1A13" w:rsidRPr="001E0371" w:rsidRDefault="005A1A13" w:rsidP="001E0371">
      <w:pPr>
        <w:pStyle w:val="PargrafodaLista"/>
        <w:tabs>
          <w:tab w:val="left" w:pos="709"/>
        </w:tabs>
        <w:spacing w:line="320" w:lineRule="exact"/>
        <w:ind w:left="0"/>
        <w:jc w:val="both"/>
        <w:rPr>
          <w:rFonts w:cstheme="minorHAnsi"/>
          <w:sz w:val="22"/>
          <w:szCs w:val="22"/>
          <w:lang w:val="pt-BR"/>
        </w:rPr>
      </w:pPr>
    </w:p>
    <w:p w14:paraId="2CDF9283" w14:textId="77777777" w:rsidR="001E0371" w:rsidRPr="001E0371" w:rsidRDefault="001E0371" w:rsidP="001E0371">
      <w:pPr>
        <w:tabs>
          <w:tab w:val="left" w:pos="709"/>
        </w:tabs>
        <w:spacing w:line="320" w:lineRule="exact"/>
        <w:jc w:val="both"/>
        <w:rPr>
          <w:rFonts w:asciiTheme="minorHAnsi" w:hAnsiTheme="minorHAnsi" w:cstheme="minorHAnsi"/>
        </w:rPr>
      </w:pPr>
    </w:p>
    <w:p w14:paraId="4F5AD2A2" w14:textId="77777777" w:rsidR="001E0371" w:rsidRPr="001E0371" w:rsidRDefault="001E0371" w:rsidP="001E0371">
      <w:pPr>
        <w:pStyle w:val="PargrafodaLista"/>
        <w:numPr>
          <w:ilvl w:val="0"/>
          <w:numId w:val="2"/>
        </w:numPr>
        <w:tabs>
          <w:tab w:val="left" w:pos="567"/>
        </w:tabs>
        <w:spacing w:line="320" w:lineRule="exact"/>
        <w:ind w:left="0" w:firstLine="0"/>
        <w:jc w:val="center"/>
        <w:rPr>
          <w:rFonts w:cstheme="minorHAnsi"/>
          <w:b/>
          <w:bCs/>
          <w:sz w:val="22"/>
          <w:szCs w:val="22"/>
          <w:lang w:val="pt-BR"/>
        </w:rPr>
      </w:pPr>
      <w:r w:rsidRPr="001E0371">
        <w:rPr>
          <w:rFonts w:cstheme="minorHAnsi"/>
          <w:b/>
          <w:bCs/>
          <w:smallCaps/>
          <w:sz w:val="22"/>
          <w:szCs w:val="22"/>
          <w:u w:val="single"/>
          <w:lang w:val="pt-BR"/>
        </w:rPr>
        <w:t>Da Inexequibilidade do Título</w:t>
      </w:r>
    </w:p>
    <w:p w14:paraId="6A4F77F3" w14:textId="77777777" w:rsidR="001E0371" w:rsidRPr="001E0371" w:rsidRDefault="001E0371" w:rsidP="001E0371">
      <w:pPr>
        <w:tabs>
          <w:tab w:val="left" w:pos="567"/>
        </w:tabs>
        <w:spacing w:line="320" w:lineRule="exact"/>
        <w:jc w:val="center"/>
        <w:rPr>
          <w:rFonts w:asciiTheme="minorHAnsi" w:hAnsiTheme="minorHAnsi" w:cstheme="minorHAnsi"/>
          <w:b/>
          <w:bCs/>
        </w:rPr>
      </w:pPr>
    </w:p>
    <w:p w14:paraId="05B9A316" w14:textId="0713571B"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lastRenderedPageBreak/>
        <w:tab/>
      </w:r>
      <w:r w:rsidRPr="001E0371">
        <w:rPr>
          <w:rFonts w:cstheme="minorHAnsi"/>
          <w:sz w:val="22"/>
          <w:szCs w:val="22"/>
          <w:lang w:val="pt-BR"/>
        </w:rPr>
        <w:t xml:space="preserve">Feitos os esclarecimentos necessários acima, percebemos que a impugnada apresentou cumprimento de sentença no evento 1 do processo em apenso epigrafado, cujo principal tem a numeração: 50053577120224047107, indicando um </w:t>
      </w:r>
      <w:r w:rsidRPr="001E0371">
        <w:rPr>
          <w:rFonts w:cstheme="minorHAnsi"/>
          <w:i/>
          <w:iCs/>
          <w:sz w:val="22"/>
          <w:szCs w:val="22"/>
          <w:lang w:val="pt-BR"/>
        </w:rPr>
        <w:t>quantum debeatur</w:t>
      </w:r>
      <w:r w:rsidRPr="001E0371">
        <w:rPr>
          <w:rFonts w:cstheme="minorHAnsi"/>
          <w:sz w:val="22"/>
          <w:szCs w:val="22"/>
          <w:lang w:val="pt-BR"/>
        </w:rPr>
        <w:t xml:space="preserve"> a título de ressarcimento por juros de obra para o período de atraso por parte da construtora, no valor de R$ 10.031,20, em Abril/2023.</w:t>
      </w:r>
    </w:p>
    <w:p w14:paraId="3DB2357F"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78BB0CF2" w14:textId="37C18BED" w:rsid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 xml:space="preserve">Logo, observa-se </w:t>
      </w:r>
      <w:r w:rsidRPr="001E0371">
        <w:rPr>
          <w:rFonts w:cstheme="minorHAnsi"/>
          <w:b/>
          <w:bCs/>
          <w:sz w:val="22"/>
          <w:szCs w:val="22"/>
          <w:u w:val="single"/>
          <w:lang w:val="pt-BR"/>
        </w:rPr>
        <w:t>INEXEQUIBILIDADE DO TÍTULO JUDICIAL</w:t>
      </w:r>
      <w:r w:rsidRPr="001E0371">
        <w:rPr>
          <w:rFonts w:cstheme="minorHAnsi"/>
          <w:b/>
          <w:bCs/>
          <w:sz w:val="22"/>
          <w:szCs w:val="22"/>
          <w:lang w:val="pt-BR"/>
        </w:rPr>
        <w:t xml:space="preserve"> </w:t>
      </w:r>
      <w:r w:rsidRPr="001E0371">
        <w:rPr>
          <w:rFonts w:cstheme="minorHAnsi"/>
          <w:sz w:val="22"/>
          <w:szCs w:val="22"/>
          <w:lang w:val="pt-BR"/>
        </w:rPr>
        <w:t>reclamado na teratológica petição alhures, posto que INEXISTE qualquer saldo remanescente a ser pago, haja vista a demonstração cabal dos erros crassos, quiçá eivados de má-fé da parte exequente.</w:t>
      </w:r>
    </w:p>
    <w:p w14:paraId="45151059" w14:textId="77777777" w:rsidR="008A31CF" w:rsidRDefault="008A31CF" w:rsidP="001E0371">
      <w:pPr>
        <w:pStyle w:val="PargrafodaLista"/>
        <w:tabs>
          <w:tab w:val="left" w:pos="709"/>
        </w:tabs>
        <w:spacing w:line="320" w:lineRule="exact"/>
        <w:ind w:left="0"/>
        <w:jc w:val="both"/>
        <w:rPr>
          <w:rFonts w:cstheme="minorHAnsi"/>
          <w:sz w:val="22"/>
          <w:szCs w:val="22"/>
          <w:lang w:val="pt-BR"/>
        </w:rPr>
      </w:pPr>
    </w:p>
    <w:p w14:paraId="1388CD35" w14:textId="7BCE4095" w:rsidR="008A31CF" w:rsidRDefault="008A31CF"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t>Nessa esteira, convém destacar que para que possamos falar em DEVOLUÇÃO deve-se ter como pressuposto necessário um PAGAMENTO, o que inexistiu no caso in voga. Ou seja, a parte exequente busca ser restituída de valores  que foram repassados pela CONSTRUTORA, o que encerraria, inexoravelmente, num ENRIQUECIMENTO SEM CAUSA.</w:t>
      </w:r>
    </w:p>
    <w:p w14:paraId="6E248362" w14:textId="77777777" w:rsidR="008A31CF" w:rsidRDefault="008A31CF" w:rsidP="001E0371">
      <w:pPr>
        <w:pStyle w:val="PargrafodaLista"/>
        <w:tabs>
          <w:tab w:val="left" w:pos="709"/>
        </w:tabs>
        <w:spacing w:line="320" w:lineRule="exact"/>
        <w:ind w:left="0"/>
        <w:jc w:val="both"/>
        <w:rPr>
          <w:rFonts w:cstheme="minorHAnsi"/>
          <w:sz w:val="22"/>
          <w:szCs w:val="22"/>
          <w:lang w:val="pt-BR"/>
        </w:rPr>
      </w:pPr>
    </w:p>
    <w:p w14:paraId="3809F309" w14:textId="70BD74A3" w:rsidR="008A31CF" w:rsidRDefault="008A31CF"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p>
    <w:p w14:paraId="18000D6F" w14:textId="7A16D82F" w:rsidR="008A31CF" w:rsidRDefault="008A31CF" w:rsidP="001E0371">
      <w:pPr>
        <w:pStyle w:val="PargrafodaLista"/>
        <w:tabs>
          <w:tab w:val="left" w:pos="709"/>
        </w:tabs>
        <w:spacing w:line="320" w:lineRule="exact"/>
        <w:ind w:left="0"/>
        <w:jc w:val="both"/>
        <w:rPr>
          <w:rFonts w:cstheme="minorHAnsi"/>
          <w:sz w:val="22"/>
          <w:szCs w:val="22"/>
          <w:lang w:val="pt-BR"/>
        </w:rPr>
      </w:pPr>
    </w:p>
    <w:p w14:paraId="64AFD929" w14:textId="67B3C6A7" w:rsidR="008A31CF" w:rsidRDefault="008A31CF"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t>Senão vejamos o conceito literal da palavra DEVOLUÇÃO:</w:t>
      </w:r>
    </w:p>
    <w:p w14:paraId="76EA2C1C" w14:textId="72950025" w:rsidR="008A31CF" w:rsidRDefault="008A31CF" w:rsidP="001E0371">
      <w:pPr>
        <w:pStyle w:val="PargrafodaLista"/>
        <w:tabs>
          <w:tab w:val="left" w:pos="709"/>
        </w:tabs>
        <w:spacing w:line="320" w:lineRule="exact"/>
        <w:ind w:left="0"/>
        <w:jc w:val="both"/>
        <w:rPr>
          <w:rFonts w:cstheme="minorHAnsi"/>
          <w:sz w:val="22"/>
          <w:szCs w:val="22"/>
          <w:lang w:val="pt-BR"/>
        </w:rPr>
      </w:pPr>
      <w:r>
        <w:rPr>
          <w:rFonts w:cstheme="minorHAnsi"/>
          <w:noProof/>
          <w:sz w:val="22"/>
          <w:szCs w:val="22"/>
          <w:lang w:val="pt-BR"/>
        </w:rPr>
        <w:drawing>
          <wp:anchor distT="0" distB="0" distL="114300" distR="114300" simplePos="0" relativeHeight="251658240" behindDoc="0" locked="0" layoutInCell="1" allowOverlap="1" wp14:anchorId="1B843923" wp14:editId="4A3A2E67">
            <wp:simplePos x="0" y="0"/>
            <wp:positionH relativeFrom="column">
              <wp:posOffset>127635</wp:posOffset>
            </wp:positionH>
            <wp:positionV relativeFrom="paragraph">
              <wp:posOffset>307975</wp:posOffset>
            </wp:positionV>
            <wp:extent cx="4133850" cy="2486025"/>
            <wp:effectExtent l="0" t="0" r="0" b="9525"/>
            <wp:wrapTopAndBottom/>
            <wp:docPr id="132268210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33850" cy="2486025"/>
                    </a:xfrm>
                    <a:prstGeom prst="rect">
                      <a:avLst/>
                    </a:prstGeom>
                    <a:noFill/>
                    <a:ln>
                      <a:noFill/>
                    </a:ln>
                  </pic:spPr>
                </pic:pic>
              </a:graphicData>
            </a:graphic>
          </wp:anchor>
        </w:drawing>
      </w:r>
    </w:p>
    <w:p w14:paraId="0FA68714" w14:textId="01F52BB7" w:rsidR="008A31CF" w:rsidRDefault="008A31CF" w:rsidP="001E0371">
      <w:pPr>
        <w:pStyle w:val="PargrafodaLista"/>
        <w:tabs>
          <w:tab w:val="left" w:pos="709"/>
        </w:tabs>
        <w:spacing w:line="320" w:lineRule="exact"/>
        <w:ind w:left="0"/>
        <w:jc w:val="both"/>
        <w:rPr>
          <w:rFonts w:cstheme="minorHAnsi"/>
          <w:sz w:val="22"/>
          <w:szCs w:val="22"/>
          <w:lang w:val="pt-BR"/>
        </w:rPr>
      </w:pPr>
    </w:p>
    <w:p w14:paraId="3791A0C2" w14:textId="3445BDF4" w:rsidR="008A31CF" w:rsidRDefault="008A31CF" w:rsidP="001E0371">
      <w:pPr>
        <w:pStyle w:val="PargrafodaLista"/>
        <w:tabs>
          <w:tab w:val="left" w:pos="709"/>
        </w:tabs>
        <w:spacing w:line="320" w:lineRule="exact"/>
        <w:ind w:left="0"/>
        <w:jc w:val="both"/>
        <w:rPr>
          <w:rFonts w:cstheme="minorHAnsi"/>
          <w:sz w:val="22"/>
          <w:szCs w:val="22"/>
          <w:lang w:val="pt-BR"/>
        </w:rPr>
      </w:pPr>
    </w:p>
    <w:p w14:paraId="35E3D2D6" w14:textId="0DB10135" w:rsidR="008A31CF" w:rsidRDefault="008A31CF"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t>Ocorre, Exa., que o exequente jamais foi dono dos valores que busca a devolução a título de danos materiais, ou seja, tal montante jamais saíram de sua esfera patrimonial para que pudesse fazer jus a tal restituição.</w:t>
      </w:r>
    </w:p>
    <w:p w14:paraId="2D21E6D8" w14:textId="77777777" w:rsidR="008A31CF" w:rsidRDefault="008A31CF" w:rsidP="001E0371">
      <w:pPr>
        <w:pStyle w:val="PargrafodaLista"/>
        <w:tabs>
          <w:tab w:val="left" w:pos="709"/>
        </w:tabs>
        <w:spacing w:line="320" w:lineRule="exact"/>
        <w:ind w:left="0"/>
        <w:jc w:val="both"/>
        <w:rPr>
          <w:rFonts w:cstheme="minorHAnsi"/>
          <w:sz w:val="22"/>
          <w:szCs w:val="22"/>
          <w:lang w:val="pt-BR"/>
        </w:rPr>
      </w:pPr>
    </w:p>
    <w:p w14:paraId="46ED55C5" w14:textId="6F7F4F79" w:rsidR="008A31CF" w:rsidRDefault="008A31CF"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t xml:space="preserve">Na realidade, caso assim se proceda, é evidente o </w:t>
      </w:r>
      <w:r w:rsidR="005A7ADB">
        <w:rPr>
          <w:rFonts w:cstheme="minorHAnsi"/>
          <w:sz w:val="22"/>
          <w:szCs w:val="22"/>
          <w:lang w:val="pt-BR"/>
        </w:rPr>
        <w:t xml:space="preserve">ENRIQUECIMENTO ILÍCITO. Portanto, não é crível, não é razoável, não é pertinente que o exequente faça jus a uma devolução da qual não procedeu com desembolso algum! É dizer: a </w:t>
      </w:r>
      <w:r w:rsidRPr="008A31CF">
        <w:rPr>
          <w:rFonts w:cstheme="minorHAnsi"/>
          <w:sz w:val="22"/>
          <w:szCs w:val="22"/>
          <w:lang w:val="pt-BR"/>
        </w:rPr>
        <w:t xml:space="preserve">parte </w:t>
      </w:r>
      <w:r w:rsidR="005A7ADB">
        <w:rPr>
          <w:rFonts w:cstheme="minorHAnsi"/>
          <w:sz w:val="22"/>
          <w:szCs w:val="22"/>
          <w:lang w:val="pt-BR"/>
        </w:rPr>
        <w:t>exequente</w:t>
      </w:r>
      <w:r w:rsidRPr="008A31CF">
        <w:rPr>
          <w:rFonts w:cstheme="minorHAnsi"/>
          <w:sz w:val="22"/>
          <w:szCs w:val="22"/>
          <w:lang w:val="pt-BR"/>
        </w:rPr>
        <w:t xml:space="preserve"> reclama a restituição de VALORES NÃO PAGOS!</w:t>
      </w:r>
    </w:p>
    <w:p w14:paraId="0C68E6A6" w14:textId="77777777" w:rsidR="005A7ADB" w:rsidRDefault="005A7ADB" w:rsidP="001E0371">
      <w:pPr>
        <w:pStyle w:val="PargrafodaLista"/>
        <w:tabs>
          <w:tab w:val="left" w:pos="709"/>
        </w:tabs>
        <w:spacing w:line="320" w:lineRule="exact"/>
        <w:ind w:left="0"/>
        <w:jc w:val="both"/>
        <w:rPr>
          <w:rFonts w:cstheme="minorHAnsi"/>
          <w:sz w:val="22"/>
          <w:szCs w:val="22"/>
          <w:lang w:val="pt-BR"/>
        </w:rPr>
      </w:pPr>
    </w:p>
    <w:p w14:paraId="53AE96C3" w14:textId="1023E918" w:rsidR="005A7ADB" w:rsidRPr="005A7ADB" w:rsidRDefault="005A7ADB" w:rsidP="001E0371">
      <w:pPr>
        <w:pStyle w:val="PargrafodaLista"/>
        <w:tabs>
          <w:tab w:val="left" w:pos="709"/>
        </w:tabs>
        <w:spacing w:line="320" w:lineRule="exact"/>
        <w:ind w:left="0"/>
        <w:jc w:val="both"/>
        <w:rPr>
          <w:rFonts w:cstheme="minorHAnsi"/>
          <w:b/>
          <w:bCs/>
          <w:sz w:val="22"/>
          <w:szCs w:val="22"/>
          <w:u w:val="single"/>
          <w:lang w:val="pt-BR"/>
        </w:rPr>
      </w:pPr>
      <w:r>
        <w:rPr>
          <w:rFonts w:cstheme="minorHAnsi"/>
          <w:sz w:val="22"/>
          <w:szCs w:val="22"/>
          <w:lang w:val="pt-BR"/>
        </w:rPr>
        <w:tab/>
      </w:r>
      <w:r w:rsidRPr="005A7ADB">
        <w:rPr>
          <w:rFonts w:cstheme="minorHAnsi"/>
          <w:b/>
          <w:bCs/>
          <w:sz w:val="22"/>
          <w:szCs w:val="22"/>
          <w:highlight w:val="yellow"/>
          <w:u w:val="single"/>
          <w:lang w:val="pt-BR"/>
        </w:rPr>
        <w:t>Indo muito além de meras alegações, a CAIXA cinge toda a sua retórica num único questionamento: ONDE ESTÁ O COMPROVANTE DE PAGAMENTO DOS JUROS DE OBRA ENTRE 28/12/2018 A 07/01/2020?</w:t>
      </w:r>
    </w:p>
    <w:p w14:paraId="207DF4E6" w14:textId="77777777" w:rsidR="005A7ADB" w:rsidRDefault="005A7ADB" w:rsidP="001E0371">
      <w:pPr>
        <w:pStyle w:val="PargrafodaLista"/>
        <w:tabs>
          <w:tab w:val="left" w:pos="709"/>
        </w:tabs>
        <w:spacing w:line="320" w:lineRule="exact"/>
        <w:ind w:left="0"/>
        <w:jc w:val="both"/>
        <w:rPr>
          <w:rFonts w:cstheme="minorHAnsi"/>
          <w:sz w:val="22"/>
          <w:szCs w:val="22"/>
          <w:lang w:val="pt-BR"/>
        </w:rPr>
      </w:pPr>
    </w:p>
    <w:p w14:paraId="09CBBE5D" w14:textId="71035CAE" w:rsidR="005A7ADB" w:rsidRPr="005A7ADB" w:rsidRDefault="005A7ADB" w:rsidP="001E0371">
      <w:pPr>
        <w:pStyle w:val="PargrafodaLista"/>
        <w:tabs>
          <w:tab w:val="left" w:pos="709"/>
        </w:tabs>
        <w:spacing w:line="320" w:lineRule="exact"/>
        <w:ind w:left="0"/>
        <w:jc w:val="both"/>
        <w:rPr>
          <w:rFonts w:cstheme="minorHAnsi"/>
          <w:b/>
          <w:bCs/>
          <w:sz w:val="22"/>
          <w:szCs w:val="22"/>
          <w:u w:val="single"/>
          <w:lang w:val="pt-BR"/>
        </w:rPr>
      </w:pPr>
      <w:r>
        <w:rPr>
          <w:rFonts w:cstheme="minorHAnsi"/>
          <w:sz w:val="22"/>
          <w:szCs w:val="22"/>
          <w:lang w:val="pt-BR"/>
        </w:rPr>
        <w:tab/>
      </w:r>
      <w:r w:rsidRPr="005A7ADB">
        <w:rPr>
          <w:rFonts w:cstheme="minorHAnsi"/>
          <w:b/>
          <w:bCs/>
          <w:sz w:val="22"/>
          <w:szCs w:val="22"/>
          <w:u w:val="single"/>
          <w:lang w:val="pt-BR"/>
        </w:rPr>
        <w:t xml:space="preserve">Caso a parte exequente comprove tais pagamentos realizados por si, cabe à empresa pública proceder com imediato pagamento do montante, que o fará em respeito à decisão transitada em julgado e pelo princípio da celeridade. </w:t>
      </w:r>
    </w:p>
    <w:p w14:paraId="1FBB56BD" w14:textId="77777777" w:rsidR="005A7ADB" w:rsidRPr="005A7ADB" w:rsidRDefault="005A7ADB" w:rsidP="001E0371">
      <w:pPr>
        <w:pStyle w:val="PargrafodaLista"/>
        <w:tabs>
          <w:tab w:val="left" w:pos="709"/>
        </w:tabs>
        <w:spacing w:line="320" w:lineRule="exact"/>
        <w:ind w:left="0"/>
        <w:jc w:val="both"/>
        <w:rPr>
          <w:rFonts w:cstheme="minorHAnsi"/>
          <w:b/>
          <w:bCs/>
          <w:sz w:val="22"/>
          <w:szCs w:val="22"/>
          <w:u w:val="single"/>
          <w:lang w:val="pt-BR"/>
        </w:rPr>
      </w:pPr>
    </w:p>
    <w:p w14:paraId="76B3335F" w14:textId="1EF7556F" w:rsidR="005A7ADB" w:rsidRPr="005A7ADB" w:rsidRDefault="005A7ADB" w:rsidP="001E0371">
      <w:pPr>
        <w:pStyle w:val="PargrafodaLista"/>
        <w:tabs>
          <w:tab w:val="left" w:pos="709"/>
        </w:tabs>
        <w:spacing w:line="320" w:lineRule="exact"/>
        <w:ind w:left="0"/>
        <w:jc w:val="both"/>
        <w:rPr>
          <w:rFonts w:cstheme="minorHAnsi"/>
          <w:b/>
          <w:bCs/>
          <w:sz w:val="22"/>
          <w:szCs w:val="22"/>
          <w:u w:val="single"/>
          <w:lang w:val="pt-BR"/>
        </w:rPr>
      </w:pPr>
      <w:r w:rsidRPr="005A7ADB">
        <w:rPr>
          <w:rFonts w:cstheme="minorHAnsi"/>
          <w:b/>
          <w:bCs/>
          <w:sz w:val="22"/>
          <w:szCs w:val="22"/>
          <w:lang w:val="pt-BR"/>
        </w:rPr>
        <w:lastRenderedPageBreak/>
        <w:tab/>
      </w:r>
      <w:r w:rsidRPr="005A7ADB">
        <w:rPr>
          <w:rFonts w:cstheme="minorHAnsi"/>
          <w:b/>
          <w:bCs/>
          <w:sz w:val="22"/>
          <w:szCs w:val="22"/>
          <w:u w:val="single"/>
          <w:lang w:val="pt-BR"/>
        </w:rPr>
        <w:t>Todavia, não COMPROVADO O PAGAMENTO DOS JUROS DE OBRA PELA PARTE AUTORA NO INTERIM DETERMINADO NO V. ACÓRDÃO, qualquer pagamento (reembolso) à exequente a tal título se afigurará como escandaloso enriquecimento ilícito.</w:t>
      </w:r>
    </w:p>
    <w:p w14:paraId="7A96D271" w14:textId="77777777" w:rsidR="008A31CF" w:rsidRDefault="008A31CF" w:rsidP="001E0371">
      <w:pPr>
        <w:pStyle w:val="PargrafodaLista"/>
        <w:tabs>
          <w:tab w:val="left" w:pos="709"/>
        </w:tabs>
        <w:spacing w:line="320" w:lineRule="exact"/>
        <w:ind w:left="0"/>
        <w:jc w:val="both"/>
        <w:rPr>
          <w:rFonts w:cstheme="minorHAnsi"/>
          <w:sz w:val="22"/>
          <w:szCs w:val="22"/>
          <w:lang w:val="pt-BR"/>
        </w:rPr>
      </w:pPr>
    </w:p>
    <w:p w14:paraId="2AC79836" w14:textId="0017428F" w:rsidR="008A31CF" w:rsidRDefault="008A31CF"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8A31CF">
        <w:rPr>
          <w:rFonts w:cstheme="minorHAnsi"/>
          <w:sz w:val="22"/>
          <w:szCs w:val="22"/>
          <w:lang w:val="pt-BR"/>
        </w:rPr>
        <w:t xml:space="preserve">Logo, para que possa receber a DEVOLUÇÃO, deve a parte exequente demonstrar cabalmente que PAGOU </w:t>
      </w:r>
      <w:r>
        <w:rPr>
          <w:rFonts w:cstheme="minorHAnsi"/>
          <w:sz w:val="22"/>
          <w:szCs w:val="22"/>
          <w:lang w:val="pt-BR"/>
        </w:rPr>
        <w:t>A TÍTULO DE JUROS DE MORA</w:t>
      </w:r>
      <w:r w:rsidRPr="008A31CF">
        <w:rPr>
          <w:rFonts w:cstheme="minorHAnsi"/>
          <w:sz w:val="22"/>
          <w:szCs w:val="22"/>
          <w:lang w:val="pt-BR"/>
        </w:rPr>
        <w:t>, o que não ocorreu em nenhum momento do processo,</w:t>
      </w:r>
      <w:r>
        <w:rPr>
          <w:rFonts w:cstheme="minorHAnsi"/>
          <w:sz w:val="22"/>
          <w:szCs w:val="22"/>
          <w:lang w:val="pt-BR"/>
        </w:rPr>
        <w:t xml:space="preserve"> mormente por tal repasse ter sido verdadeiramente realizado pela CONSTRUTORA,</w:t>
      </w:r>
      <w:r w:rsidRPr="008A31CF">
        <w:rPr>
          <w:rFonts w:cstheme="minorHAnsi"/>
          <w:sz w:val="22"/>
          <w:szCs w:val="22"/>
          <w:lang w:val="pt-BR"/>
        </w:rPr>
        <w:t xml:space="preserve"> de modo que não subsiste o pedido de danos materiais deduzido na execução ora impugnada</w:t>
      </w:r>
    </w:p>
    <w:p w14:paraId="0798590E" w14:textId="77777777" w:rsidR="005A7ADB" w:rsidRDefault="005A7ADB" w:rsidP="001E0371">
      <w:pPr>
        <w:pStyle w:val="PargrafodaLista"/>
        <w:tabs>
          <w:tab w:val="left" w:pos="709"/>
        </w:tabs>
        <w:spacing w:line="320" w:lineRule="exact"/>
        <w:ind w:left="0"/>
        <w:jc w:val="both"/>
        <w:rPr>
          <w:rFonts w:cstheme="minorHAnsi"/>
          <w:sz w:val="22"/>
          <w:szCs w:val="22"/>
          <w:lang w:val="pt-BR"/>
        </w:rPr>
      </w:pPr>
    </w:p>
    <w:p w14:paraId="7AB8707D" w14:textId="54384C58" w:rsidR="005A7ADB" w:rsidRDefault="005A7ADB"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t>É irrefutável que</w:t>
      </w:r>
      <w:r w:rsidRPr="005A7ADB">
        <w:rPr>
          <w:rFonts w:cstheme="minorHAnsi"/>
          <w:sz w:val="22"/>
          <w:szCs w:val="22"/>
          <w:lang w:val="pt-BR"/>
        </w:rPr>
        <w:t xml:space="preserve"> execução em tela se demonstra indiscutivelmente desarrazoada, considerando o contexto processual e princípios basilares da equidade, vedação ao enriquecimento sem causa e boa-fé.</w:t>
      </w:r>
    </w:p>
    <w:p w14:paraId="5357BCC9" w14:textId="77777777" w:rsidR="008A31CF" w:rsidRPr="001E0371" w:rsidRDefault="008A31CF" w:rsidP="001E0371">
      <w:pPr>
        <w:pStyle w:val="PargrafodaLista"/>
        <w:tabs>
          <w:tab w:val="left" w:pos="709"/>
        </w:tabs>
        <w:spacing w:line="320" w:lineRule="exact"/>
        <w:ind w:left="0"/>
        <w:jc w:val="both"/>
        <w:rPr>
          <w:rFonts w:cstheme="minorHAnsi"/>
          <w:sz w:val="22"/>
          <w:szCs w:val="22"/>
          <w:lang w:val="pt-BR"/>
        </w:rPr>
      </w:pPr>
    </w:p>
    <w:p w14:paraId="3AEC8884" w14:textId="77777777" w:rsidR="001E0371" w:rsidRPr="001E0371" w:rsidRDefault="001E0371" w:rsidP="001E0371">
      <w:pPr>
        <w:pStyle w:val="PargrafodaLista"/>
        <w:rPr>
          <w:rFonts w:cstheme="minorHAnsi"/>
          <w:sz w:val="22"/>
          <w:szCs w:val="22"/>
          <w:lang w:val="pt-BR"/>
        </w:rPr>
      </w:pPr>
    </w:p>
    <w:p w14:paraId="1F3DF94F" w14:textId="1721E3D5"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Assim, considerando a liquidação integral dos valores determinados pela r. sentença, pugna-se pela Extinção da Execução nos termos do art. 924, II, CPC, mormente por não ter havido qualquer pagamento pela parte exequente que justifique ressarcimento, uma vez que os juros de obra no período delimitado em sentença foram quitados integralmente pela construtora, na condição de fiadora, consoante provas cabais em anexo.</w:t>
      </w:r>
    </w:p>
    <w:p w14:paraId="2AC617F5" w14:textId="77777777" w:rsidR="001E0371" w:rsidRPr="001E0371" w:rsidRDefault="001E0371" w:rsidP="001E0371">
      <w:pPr>
        <w:tabs>
          <w:tab w:val="left" w:pos="709"/>
        </w:tabs>
        <w:spacing w:line="320" w:lineRule="exact"/>
        <w:jc w:val="both"/>
        <w:rPr>
          <w:rFonts w:asciiTheme="minorHAnsi" w:hAnsiTheme="minorHAnsi" w:cstheme="minorHAnsi"/>
        </w:rPr>
      </w:pPr>
    </w:p>
    <w:p w14:paraId="7D822DBA" w14:textId="77777777" w:rsidR="001E0371" w:rsidRPr="001E0371" w:rsidRDefault="001E0371" w:rsidP="001E0371">
      <w:pPr>
        <w:tabs>
          <w:tab w:val="left" w:pos="0"/>
          <w:tab w:val="left" w:pos="567"/>
        </w:tabs>
        <w:spacing w:line="320" w:lineRule="exact"/>
        <w:jc w:val="center"/>
        <w:rPr>
          <w:rFonts w:asciiTheme="minorHAnsi" w:hAnsiTheme="minorHAnsi" w:cstheme="minorHAnsi"/>
          <w:b/>
          <w:bCs/>
          <w:smallCaps/>
        </w:rPr>
      </w:pPr>
    </w:p>
    <w:p w14:paraId="062142E4" w14:textId="77777777" w:rsidR="001E0371" w:rsidRPr="001E0371" w:rsidRDefault="001E0371" w:rsidP="001E0371">
      <w:pPr>
        <w:pStyle w:val="PargrafodaLista"/>
        <w:numPr>
          <w:ilvl w:val="0"/>
          <w:numId w:val="2"/>
        </w:numPr>
        <w:tabs>
          <w:tab w:val="left" w:pos="0"/>
          <w:tab w:val="left" w:pos="567"/>
        </w:tabs>
        <w:spacing w:line="320" w:lineRule="exact"/>
        <w:ind w:left="0" w:firstLine="0"/>
        <w:jc w:val="center"/>
        <w:rPr>
          <w:rFonts w:cstheme="minorHAnsi"/>
          <w:b/>
          <w:bCs/>
          <w:smallCaps/>
          <w:sz w:val="22"/>
          <w:szCs w:val="22"/>
          <w:lang w:val="pt-BR"/>
        </w:rPr>
      </w:pPr>
      <w:r w:rsidRPr="001E0371">
        <w:rPr>
          <w:rFonts w:cstheme="minorHAnsi"/>
          <w:b/>
          <w:bCs/>
          <w:smallCaps/>
          <w:sz w:val="22"/>
          <w:szCs w:val="22"/>
          <w:lang w:val="pt-BR"/>
        </w:rPr>
        <w:t>Da Litigância de Má-fé</w:t>
      </w:r>
    </w:p>
    <w:p w14:paraId="450FE44B" w14:textId="77777777" w:rsidR="001E0371" w:rsidRPr="001E0371" w:rsidRDefault="001E0371" w:rsidP="001E0371">
      <w:pPr>
        <w:tabs>
          <w:tab w:val="left" w:pos="0"/>
          <w:tab w:val="left" w:pos="567"/>
        </w:tabs>
        <w:spacing w:line="320" w:lineRule="exact"/>
        <w:jc w:val="center"/>
        <w:rPr>
          <w:rFonts w:asciiTheme="minorHAnsi" w:hAnsiTheme="minorHAnsi" w:cstheme="minorHAnsi"/>
          <w:b/>
          <w:bCs/>
          <w:smallCaps/>
        </w:rPr>
      </w:pPr>
    </w:p>
    <w:p w14:paraId="0DB5E552" w14:textId="43C24955"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Conforme amplamente demonstrado, o exequente, através de seu advogado, sabidamente, requer a restituição de valores NÃO PAGOS.</w:t>
      </w:r>
    </w:p>
    <w:p w14:paraId="162B26A0" w14:textId="77777777" w:rsidR="001E0371" w:rsidRPr="001E0371" w:rsidRDefault="001E0371" w:rsidP="001E0371">
      <w:pPr>
        <w:pStyle w:val="PargrafodaLista"/>
        <w:tabs>
          <w:tab w:val="left" w:pos="709"/>
        </w:tabs>
        <w:spacing w:line="320" w:lineRule="exact"/>
        <w:ind w:left="0"/>
        <w:jc w:val="both"/>
        <w:rPr>
          <w:rFonts w:cstheme="minorHAnsi"/>
          <w:sz w:val="22"/>
          <w:szCs w:val="22"/>
          <w:lang w:val="pt-BR"/>
        </w:rPr>
      </w:pPr>
    </w:p>
    <w:p w14:paraId="10758592" w14:textId="0F842310"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Evidente que era de total conhecimento da parte exequente que a quitação dos valores não foi realizado por si, portanto, impertinente e ilegal o pedido de ressarcimento, configurando intenção de locupletar-se ilicitamente às expensas da CAIXA.</w:t>
      </w:r>
    </w:p>
    <w:p w14:paraId="0791E36C" w14:textId="77777777" w:rsidR="001E0371" w:rsidRPr="001E0371" w:rsidRDefault="001E0371" w:rsidP="001E0371">
      <w:pPr>
        <w:pStyle w:val="PargrafodaLista"/>
        <w:rPr>
          <w:rFonts w:cstheme="minorHAnsi"/>
          <w:sz w:val="22"/>
          <w:szCs w:val="22"/>
          <w:lang w:val="pt-BR"/>
        </w:rPr>
      </w:pPr>
    </w:p>
    <w:p w14:paraId="04FD9593" w14:textId="77777777" w:rsid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p>
    <w:p w14:paraId="6D6042F1" w14:textId="77777777" w:rsidR="001E0371" w:rsidRDefault="001E0371" w:rsidP="001E0371">
      <w:pPr>
        <w:pStyle w:val="PargrafodaLista"/>
        <w:tabs>
          <w:tab w:val="left" w:pos="709"/>
        </w:tabs>
        <w:spacing w:line="320" w:lineRule="exact"/>
        <w:ind w:left="0"/>
        <w:jc w:val="both"/>
        <w:rPr>
          <w:rFonts w:cstheme="minorHAnsi"/>
          <w:sz w:val="22"/>
          <w:szCs w:val="22"/>
          <w:lang w:val="pt-BR"/>
        </w:rPr>
      </w:pPr>
    </w:p>
    <w:p w14:paraId="02CE4E40" w14:textId="20F4F763" w:rsidR="001E0371" w:rsidRPr="001E0371" w:rsidRDefault="001E0371" w:rsidP="001E0371">
      <w:pPr>
        <w:pStyle w:val="PargrafodaLista"/>
        <w:tabs>
          <w:tab w:val="left" w:pos="709"/>
        </w:tabs>
        <w:spacing w:line="320" w:lineRule="exact"/>
        <w:ind w:left="0"/>
        <w:jc w:val="both"/>
        <w:rPr>
          <w:rFonts w:cstheme="minorHAnsi"/>
          <w:sz w:val="22"/>
          <w:szCs w:val="22"/>
          <w:lang w:val="pt-BR"/>
        </w:rPr>
      </w:pPr>
      <w:r>
        <w:rPr>
          <w:rFonts w:cstheme="minorHAnsi"/>
          <w:sz w:val="22"/>
          <w:szCs w:val="22"/>
          <w:lang w:val="pt-BR"/>
        </w:rPr>
        <w:tab/>
      </w:r>
      <w:r w:rsidRPr="001E0371">
        <w:rPr>
          <w:rFonts w:cstheme="minorHAnsi"/>
          <w:sz w:val="22"/>
          <w:szCs w:val="22"/>
          <w:lang w:val="pt-BR"/>
        </w:rPr>
        <w:t>Assim, resta patente a LITIGÂNCIA DE MÁ-FÉ, sobretudo pelos motivos abaixo destacados:</w:t>
      </w:r>
    </w:p>
    <w:p w14:paraId="3F9CA094" w14:textId="77777777" w:rsidR="001E0371" w:rsidRPr="001E0371" w:rsidRDefault="001E0371" w:rsidP="001E0371">
      <w:pPr>
        <w:pStyle w:val="artigo"/>
        <w:ind w:left="2268"/>
        <w:rPr>
          <w:rFonts w:asciiTheme="minorHAnsi" w:eastAsiaTheme="minorEastAsia" w:hAnsiTheme="minorHAnsi" w:cstheme="minorHAnsi"/>
          <w:sz w:val="22"/>
          <w:szCs w:val="22"/>
          <w:lang w:eastAsia="ja-JP"/>
        </w:rPr>
      </w:pPr>
      <w:bookmarkStart w:id="0" w:name="c80"/>
      <w:bookmarkEnd w:id="0"/>
      <w:r w:rsidRPr="001E0371">
        <w:rPr>
          <w:rFonts w:asciiTheme="minorHAnsi" w:eastAsiaTheme="minorEastAsia" w:hAnsiTheme="minorHAnsi" w:cstheme="minorHAnsi"/>
          <w:sz w:val="22"/>
          <w:szCs w:val="22"/>
          <w:lang w:eastAsia="ja-JP"/>
        </w:rPr>
        <w:t>  </w:t>
      </w:r>
      <w:bookmarkStart w:id="1" w:name="art80"/>
      <w:bookmarkEnd w:id="1"/>
      <w:r w:rsidRPr="001E0371">
        <w:rPr>
          <w:rFonts w:asciiTheme="minorHAnsi" w:eastAsiaTheme="minorEastAsia" w:hAnsiTheme="minorHAnsi" w:cstheme="minorHAnsi"/>
          <w:sz w:val="22"/>
          <w:szCs w:val="22"/>
          <w:lang w:eastAsia="ja-JP"/>
        </w:rPr>
        <w:t>Art. 80. Considera-se litigante de má-fé aquele que:</w:t>
      </w:r>
    </w:p>
    <w:p w14:paraId="76C91180" w14:textId="77777777" w:rsidR="001E0371" w:rsidRPr="001E0371" w:rsidRDefault="001E0371" w:rsidP="001E0371">
      <w:pPr>
        <w:pStyle w:val="artigo"/>
        <w:ind w:left="2268"/>
        <w:rPr>
          <w:rFonts w:asciiTheme="minorHAnsi" w:eastAsiaTheme="minorEastAsia" w:hAnsiTheme="minorHAnsi" w:cstheme="minorHAnsi"/>
          <w:sz w:val="22"/>
          <w:szCs w:val="22"/>
          <w:lang w:eastAsia="ja-JP"/>
        </w:rPr>
      </w:pPr>
      <w:bookmarkStart w:id="2" w:name="art80i"/>
      <w:bookmarkEnd w:id="2"/>
      <w:r w:rsidRPr="001E0371">
        <w:rPr>
          <w:rFonts w:asciiTheme="minorHAnsi" w:eastAsiaTheme="minorEastAsia" w:hAnsiTheme="minorHAnsi" w:cstheme="minorHAnsi"/>
          <w:sz w:val="22"/>
          <w:szCs w:val="22"/>
          <w:lang w:eastAsia="ja-JP"/>
        </w:rPr>
        <w:t xml:space="preserve">I - </w:t>
      </w:r>
      <w:r w:rsidRPr="001E0371">
        <w:rPr>
          <w:rFonts w:asciiTheme="minorHAnsi" w:eastAsiaTheme="minorEastAsia" w:hAnsiTheme="minorHAnsi" w:cstheme="minorHAnsi"/>
          <w:b/>
          <w:bCs/>
          <w:i/>
          <w:iCs/>
          <w:sz w:val="22"/>
          <w:szCs w:val="22"/>
          <w:lang w:eastAsia="ja-JP"/>
        </w:rPr>
        <w:t>deduzir pretensão</w:t>
      </w:r>
      <w:r w:rsidRPr="001E0371">
        <w:rPr>
          <w:rFonts w:asciiTheme="minorHAnsi" w:eastAsiaTheme="minorEastAsia" w:hAnsiTheme="minorHAnsi" w:cstheme="minorHAnsi"/>
          <w:sz w:val="22"/>
          <w:szCs w:val="22"/>
          <w:lang w:eastAsia="ja-JP"/>
        </w:rPr>
        <w:t xml:space="preserve"> ou defesa </w:t>
      </w:r>
      <w:r w:rsidRPr="001E0371">
        <w:rPr>
          <w:rFonts w:asciiTheme="minorHAnsi" w:eastAsiaTheme="minorEastAsia" w:hAnsiTheme="minorHAnsi" w:cstheme="minorHAnsi"/>
          <w:b/>
          <w:bCs/>
          <w:i/>
          <w:iCs/>
          <w:sz w:val="22"/>
          <w:szCs w:val="22"/>
          <w:lang w:eastAsia="ja-JP"/>
        </w:rPr>
        <w:t>contra</w:t>
      </w:r>
      <w:r w:rsidRPr="001E0371">
        <w:rPr>
          <w:rFonts w:asciiTheme="minorHAnsi" w:eastAsiaTheme="minorEastAsia" w:hAnsiTheme="minorHAnsi" w:cstheme="minorHAnsi"/>
          <w:sz w:val="22"/>
          <w:szCs w:val="22"/>
          <w:lang w:eastAsia="ja-JP"/>
        </w:rPr>
        <w:t xml:space="preserve"> texto expresso de lei ou </w:t>
      </w:r>
      <w:r w:rsidRPr="001E0371">
        <w:rPr>
          <w:rFonts w:asciiTheme="minorHAnsi" w:eastAsiaTheme="minorEastAsia" w:hAnsiTheme="minorHAnsi" w:cstheme="minorHAnsi"/>
          <w:b/>
          <w:bCs/>
          <w:i/>
          <w:iCs/>
          <w:sz w:val="22"/>
          <w:szCs w:val="22"/>
          <w:lang w:eastAsia="ja-JP"/>
        </w:rPr>
        <w:t>fato incontroverso</w:t>
      </w:r>
      <w:r w:rsidRPr="001E0371">
        <w:rPr>
          <w:rFonts w:asciiTheme="minorHAnsi" w:eastAsiaTheme="minorEastAsia" w:hAnsiTheme="minorHAnsi" w:cstheme="minorHAnsi"/>
          <w:sz w:val="22"/>
          <w:szCs w:val="22"/>
          <w:lang w:eastAsia="ja-JP"/>
        </w:rPr>
        <w:t>;</w:t>
      </w:r>
    </w:p>
    <w:p w14:paraId="1AB15423" w14:textId="77777777" w:rsidR="001E0371" w:rsidRPr="001E0371" w:rsidRDefault="001E0371" w:rsidP="001E0371">
      <w:pPr>
        <w:pStyle w:val="artigo"/>
        <w:ind w:left="2268"/>
        <w:rPr>
          <w:rFonts w:asciiTheme="minorHAnsi" w:eastAsiaTheme="minorEastAsia" w:hAnsiTheme="minorHAnsi" w:cstheme="minorHAnsi"/>
          <w:sz w:val="22"/>
          <w:szCs w:val="22"/>
          <w:lang w:eastAsia="ja-JP"/>
        </w:rPr>
      </w:pPr>
      <w:bookmarkStart w:id="3" w:name="art80ii"/>
      <w:bookmarkEnd w:id="3"/>
      <w:r w:rsidRPr="001E0371">
        <w:rPr>
          <w:rFonts w:asciiTheme="minorHAnsi" w:eastAsiaTheme="minorEastAsia" w:hAnsiTheme="minorHAnsi" w:cstheme="minorHAnsi"/>
          <w:sz w:val="22"/>
          <w:szCs w:val="22"/>
          <w:lang w:eastAsia="ja-JP"/>
        </w:rPr>
        <w:t xml:space="preserve">II - </w:t>
      </w:r>
      <w:r w:rsidRPr="001E0371">
        <w:rPr>
          <w:rFonts w:asciiTheme="minorHAnsi" w:eastAsiaTheme="minorEastAsia" w:hAnsiTheme="minorHAnsi" w:cstheme="minorHAnsi"/>
          <w:b/>
          <w:bCs/>
          <w:sz w:val="22"/>
          <w:szCs w:val="22"/>
          <w:highlight w:val="yellow"/>
          <w:lang w:eastAsia="ja-JP"/>
        </w:rPr>
        <w:t>alterar a verdade dos fatos</w:t>
      </w:r>
      <w:r w:rsidRPr="001E0371">
        <w:rPr>
          <w:rFonts w:asciiTheme="minorHAnsi" w:eastAsiaTheme="minorEastAsia" w:hAnsiTheme="minorHAnsi" w:cstheme="minorHAnsi"/>
          <w:sz w:val="22"/>
          <w:szCs w:val="22"/>
          <w:lang w:eastAsia="ja-JP"/>
        </w:rPr>
        <w:t>;</w:t>
      </w:r>
    </w:p>
    <w:p w14:paraId="1FF58747" w14:textId="77777777" w:rsidR="001E0371" w:rsidRPr="001E0371" w:rsidRDefault="001E0371" w:rsidP="001E0371">
      <w:pPr>
        <w:pStyle w:val="artigo"/>
        <w:ind w:left="2268"/>
        <w:rPr>
          <w:rFonts w:asciiTheme="minorHAnsi" w:eastAsiaTheme="minorEastAsia" w:hAnsiTheme="minorHAnsi" w:cstheme="minorHAnsi"/>
          <w:b/>
          <w:bCs/>
          <w:sz w:val="22"/>
          <w:szCs w:val="22"/>
          <w:highlight w:val="yellow"/>
          <w:lang w:eastAsia="ja-JP"/>
        </w:rPr>
      </w:pPr>
      <w:bookmarkStart w:id="4" w:name="art80iii"/>
      <w:bookmarkStart w:id="5" w:name="art80v"/>
      <w:bookmarkEnd w:id="4"/>
      <w:bookmarkEnd w:id="5"/>
      <w:r w:rsidRPr="001E0371">
        <w:rPr>
          <w:rFonts w:asciiTheme="minorHAnsi" w:eastAsiaTheme="minorEastAsia" w:hAnsiTheme="minorHAnsi" w:cstheme="minorHAnsi"/>
          <w:b/>
          <w:bCs/>
          <w:sz w:val="22"/>
          <w:szCs w:val="22"/>
          <w:highlight w:val="yellow"/>
          <w:lang w:eastAsia="ja-JP"/>
        </w:rPr>
        <w:t>V - proceder de modo temerário em qualquer incidente ou ato do processo;</w:t>
      </w:r>
    </w:p>
    <w:p w14:paraId="295369FD" w14:textId="77777777" w:rsidR="001E0371" w:rsidRPr="001E0371" w:rsidRDefault="001E0371" w:rsidP="001E0371">
      <w:pPr>
        <w:pStyle w:val="artigo"/>
        <w:ind w:left="2268"/>
        <w:rPr>
          <w:rFonts w:asciiTheme="minorHAnsi" w:eastAsiaTheme="minorEastAsia" w:hAnsiTheme="minorHAnsi" w:cstheme="minorHAnsi"/>
          <w:b/>
          <w:bCs/>
          <w:sz w:val="22"/>
          <w:szCs w:val="22"/>
          <w:lang w:eastAsia="ja-JP"/>
        </w:rPr>
      </w:pPr>
      <w:bookmarkStart w:id="6" w:name="art80vi"/>
      <w:bookmarkEnd w:id="6"/>
      <w:r w:rsidRPr="001E0371">
        <w:rPr>
          <w:rFonts w:asciiTheme="minorHAnsi" w:eastAsiaTheme="minorEastAsia" w:hAnsiTheme="minorHAnsi" w:cstheme="minorHAnsi"/>
          <w:b/>
          <w:bCs/>
          <w:sz w:val="22"/>
          <w:szCs w:val="22"/>
          <w:highlight w:val="yellow"/>
          <w:lang w:eastAsia="ja-JP"/>
        </w:rPr>
        <w:t>VI - provocar incidente manifestamente infundado;</w:t>
      </w:r>
    </w:p>
    <w:p w14:paraId="0015D56C" w14:textId="77777777" w:rsidR="001E0371" w:rsidRPr="001E0371" w:rsidRDefault="001E0371" w:rsidP="001E0371">
      <w:pPr>
        <w:tabs>
          <w:tab w:val="left" w:pos="709"/>
        </w:tabs>
        <w:spacing w:line="320" w:lineRule="exact"/>
        <w:jc w:val="both"/>
        <w:rPr>
          <w:rFonts w:asciiTheme="minorHAnsi" w:hAnsiTheme="minorHAnsi" w:cstheme="minorHAnsi"/>
        </w:rPr>
      </w:pPr>
    </w:p>
    <w:p w14:paraId="582753D5" w14:textId="77777777" w:rsidR="001E0371" w:rsidRPr="001E0371" w:rsidRDefault="001E0371" w:rsidP="001E0371">
      <w:pPr>
        <w:pStyle w:val="PargrafodaLista"/>
        <w:spacing w:line="320" w:lineRule="exact"/>
        <w:ind w:left="0" w:firstLine="708"/>
        <w:jc w:val="both"/>
        <w:rPr>
          <w:rFonts w:cstheme="minorHAnsi"/>
          <w:sz w:val="22"/>
          <w:szCs w:val="22"/>
          <w:lang w:val="pt-BR"/>
        </w:rPr>
      </w:pPr>
      <w:r w:rsidRPr="001E0371">
        <w:rPr>
          <w:rFonts w:cstheme="minorHAnsi"/>
          <w:sz w:val="22"/>
          <w:szCs w:val="22"/>
          <w:lang w:val="pt-BR"/>
        </w:rPr>
        <w:t>Certo é que houve desrespeito do advogado autoral à regra da boa-fé objetiva insculpida no art. 5º, pelo que merece ser considerada litigância de má-fé da parte exequente e seu causídico, nos termos do art. 80, II, CPC, com condenação de multa no patamar de 10% sobre o valor corrigido da causa, nos termos do art. 81, CPC.</w:t>
      </w:r>
    </w:p>
    <w:p w14:paraId="77C800AC" w14:textId="77777777" w:rsidR="001E0371" w:rsidRPr="001E0371" w:rsidRDefault="001E0371" w:rsidP="001E0371">
      <w:pPr>
        <w:pStyle w:val="PargrafodaLista"/>
        <w:tabs>
          <w:tab w:val="left" w:pos="709"/>
        </w:tabs>
        <w:spacing w:line="320" w:lineRule="exact"/>
        <w:ind w:left="0"/>
        <w:jc w:val="both"/>
        <w:rPr>
          <w:rFonts w:cstheme="minorHAnsi"/>
          <w:sz w:val="22"/>
          <w:szCs w:val="22"/>
        </w:rPr>
      </w:pPr>
    </w:p>
    <w:p w14:paraId="6A114911" w14:textId="77777777" w:rsidR="001E0371" w:rsidRPr="001E0371" w:rsidRDefault="001E0371" w:rsidP="001E0371">
      <w:pPr>
        <w:pStyle w:val="PargrafodaLista"/>
        <w:tabs>
          <w:tab w:val="left" w:pos="0"/>
          <w:tab w:val="left" w:pos="567"/>
        </w:tabs>
        <w:spacing w:line="320" w:lineRule="exact"/>
        <w:ind w:left="0"/>
        <w:rPr>
          <w:rFonts w:cstheme="minorHAnsi"/>
          <w:b/>
          <w:bCs/>
          <w:smallCaps/>
          <w:sz w:val="22"/>
          <w:szCs w:val="22"/>
        </w:rPr>
      </w:pPr>
    </w:p>
    <w:p w14:paraId="342CFFEC" w14:textId="77777777" w:rsidR="001E0371" w:rsidRPr="001E0371" w:rsidRDefault="001E0371" w:rsidP="001E0371">
      <w:pPr>
        <w:pStyle w:val="PargrafodaLista"/>
        <w:numPr>
          <w:ilvl w:val="0"/>
          <w:numId w:val="2"/>
        </w:numPr>
        <w:tabs>
          <w:tab w:val="left" w:pos="0"/>
          <w:tab w:val="left" w:pos="567"/>
        </w:tabs>
        <w:spacing w:line="320" w:lineRule="exact"/>
        <w:ind w:left="0" w:firstLine="0"/>
        <w:jc w:val="center"/>
        <w:rPr>
          <w:rFonts w:cstheme="minorHAnsi"/>
          <w:b/>
          <w:bCs/>
          <w:smallCaps/>
          <w:sz w:val="22"/>
          <w:szCs w:val="22"/>
        </w:rPr>
      </w:pPr>
      <w:r w:rsidRPr="001E0371">
        <w:rPr>
          <w:rFonts w:cstheme="minorHAnsi"/>
          <w:b/>
          <w:bCs/>
          <w:smallCaps/>
          <w:sz w:val="22"/>
          <w:szCs w:val="22"/>
          <w:u w:val="single"/>
        </w:rPr>
        <w:lastRenderedPageBreak/>
        <w:t>Conclusão</w:t>
      </w:r>
    </w:p>
    <w:p w14:paraId="6DB21AE1" w14:textId="77777777" w:rsidR="001E0371" w:rsidRDefault="001E0371" w:rsidP="001E0371">
      <w:pPr>
        <w:pStyle w:val="PargrafodaLista"/>
        <w:tabs>
          <w:tab w:val="left" w:pos="709"/>
        </w:tabs>
        <w:spacing w:line="320" w:lineRule="exact"/>
        <w:ind w:left="0"/>
        <w:jc w:val="both"/>
        <w:rPr>
          <w:rFonts w:cstheme="minorHAnsi"/>
          <w:sz w:val="22"/>
          <w:szCs w:val="22"/>
          <w:lang w:val="pt-BR"/>
        </w:rPr>
      </w:pPr>
    </w:p>
    <w:p w14:paraId="7870281E" w14:textId="77777777" w:rsidR="001E0371" w:rsidRDefault="001E0371" w:rsidP="001E0371">
      <w:pPr>
        <w:pStyle w:val="PargrafodaLista"/>
        <w:tabs>
          <w:tab w:val="left" w:pos="709"/>
        </w:tabs>
        <w:spacing w:line="320" w:lineRule="exact"/>
        <w:ind w:left="0"/>
        <w:jc w:val="both"/>
        <w:rPr>
          <w:rFonts w:cstheme="minorHAnsi"/>
          <w:sz w:val="22"/>
          <w:szCs w:val="22"/>
          <w:lang w:val="pt-BR"/>
        </w:rPr>
      </w:pPr>
    </w:p>
    <w:p w14:paraId="11546E83" w14:textId="64BE21FF" w:rsidR="001E0371" w:rsidRPr="001E0371" w:rsidRDefault="001E0371" w:rsidP="001E0371">
      <w:pPr>
        <w:pStyle w:val="PargrafodaLista"/>
        <w:tabs>
          <w:tab w:val="left" w:pos="709"/>
        </w:tabs>
        <w:spacing w:line="320" w:lineRule="exact"/>
        <w:ind w:left="0"/>
        <w:jc w:val="both"/>
        <w:rPr>
          <w:rFonts w:cstheme="minorHAnsi"/>
          <w:sz w:val="22"/>
          <w:szCs w:val="22"/>
        </w:rPr>
      </w:pPr>
      <w:r>
        <w:rPr>
          <w:rFonts w:cstheme="minorHAnsi"/>
          <w:sz w:val="22"/>
          <w:szCs w:val="22"/>
          <w:lang w:val="pt-BR"/>
        </w:rPr>
        <w:tab/>
      </w:r>
      <w:r w:rsidRPr="001E0371">
        <w:rPr>
          <w:rFonts w:cstheme="minorHAnsi"/>
          <w:sz w:val="22"/>
          <w:szCs w:val="22"/>
          <w:lang w:val="pt-BR"/>
        </w:rPr>
        <w:t>À conta do que foi exposto e diante da relevância da fundamentação, vem requerer à Vossa Excelência o que se segue:</w:t>
      </w:r>
    </w:p>
    <w:p w14:paraId="4FB362C1" w14:textId="77777777" w:rsidR="001E0371" w:rsidRPr="001E0371" w:rsidRDefault="001E0371" w:rsidP="001E0371">
      <w:pPr>
        <w:pStyle w:val="PargrafodaLista"/>
        <w:tabs>
          <w:tab w:val="left" w:pos="2694"/>
        </w:tabs>
        <w:spacing w:line="320" w:lineRule="exact"/>
        <w:ind w:left="2268" w:hanging="11"/>
        <w:jc w:val="both"/>
        <w:rPr>
          <w:rFonts w:cstheme="minorHAnsi"/>
          <w:sz w:val="22"/>
          <w:szCs w:val="22"/>
        </w:rPr>
      </w:pPr>
    </w:p>
    <w:p w14:paraId="2FE06679" w14:textId="3EBB930B" w:rsidR="001E0371" w:rsidRPr="001E0371" w:rsidRDefault="001E0371" w:rsidP="001E0371">
      <w:pPr>
        <w:pStyle w:val="PargrafodaLista"/>
        <w:numPr>
          <w:ilvl w:val="0"/>
          <w:numId w:val="4"/>
        </w:numPr>
        <w:tabs>
          <w:tab w:val="left" w:pos="2694"/>
        </w:tabs>
        <w:spacing w:line="320" w:lineRule="exact"/>
        <w:ind w:left="2268" w:hanging="11"/>
        <w:jc w:val="both"/>
        <w:rPr>
          <w:rFonts w:cstheme="minorHAnsi"/>
          <w:sz w:val="22"/>
          <w:szCs w:val="22"/>
        </w:rPr>
      </w:pPr>
      <w:r w:rsidRPr="001E0371">
        <w:rPr>
          <w:rFonts w:cstheme="minorHAnsi"/>
          <w:sz w:val="22"/>
          <w:szCs w:val="22"/>
          <w:lang w:val="pt-BR"/>
        </w:rPr>
        <w:t xml:space="preserve">o acolhimento </w:t>
      </w:r>
      <w:r w:rsidR="005A7ADB">
        <w:rPr>
          <w:rFonts w:cstheme="minorHAnsi"/>
          <w:sz w:val="22"/>
          <w:szCs w:val="22"/>
          <w:lang w:val="pt-BR"/>
        </w:rPr>
        <w:t>dos argumentos ora expostos e, por conseguinte,</w:t>
      </w:r>
      <w:r w:rsidRPr="001E0371">
        <w:rPr>
          <w:rFonts w:cstheme="minorHAnsi"/>
          <w:sz w:val="22"/>
          <w:szCs w:val="22"/>
          <w:lang w:val="pt-BR"/>
        </w:rPr>
        <w:t xml:space="preserve"> declarar a </w:t>
      </w:r>
      <w:r w:rsidRPr="001E0371">
        <w:rPr>
          <w:rFonts w:cstheme="minorHAnsi"/>
          <w:b/>
          <w:bCs/>
          <w:sz w:val="22"/>
          <w:szCs w:val="22"/>
          <w:u w:val="single"/>
          <w:lang w:val="pt-BR"/>
        </w:rPr>
        <w:t>inexequibilidade do título judicial, com consequente extinção do feito nos termos do art. 924, II, CPC, considerando que inexistem valores a serem restituídos à exequente</w:t>
      </w:r>
      <w:r w:rsidRPr="001E0371">
        <w:rPr>
          <w:rFonts w:cstheme="minorHAnsi"/>
          <w:sz w:val="22"/>
          <w:szCs w:val="22"/>
          <w:lang w:val="pt-BR"/>
        </w:rPr>
        <w:t>.</w:t>
      </w:r>
    </w:p>
    <w:p w14:paraId="4EC7FA0F" w14:textId="77777777" w:rsidR="001E0371" w:rsidRPr="001E0371" w:rsidRDefault="001E0371" w:rsidP="001E0371">
      <w:pPr>
        <w:pStyle w:val="PargrafodaLista"/>
        <w:rPr>
          <w:rFonts w:cstheme="minorHAnsi"/>
          <w:sz w:val="22"/>
          <w:szCs w:val="22"/>
        </w:rPr>
      </w:pPr>
    </w:p>
    <w:p w14:paraId="3590FD02" w14:textId="77777777" w:rsidR="001E0371" w:rsidRPr="001E0371" w:rsidRDefault="001E0371" w:rsidP="001E0371">
      <w:pPr>
        <w:pStyle w:val="PargrafodaLista"/>
        <w:numPr>
          <w:ilvl w:val="0"/>
          <w:numId w:val="4"/>
        </w:numPr>
        <w:tabs>
          <w:tab w:val="left" w:pos="2694"/>
        </w:tabs>
        <w:spacing w:line="320" w:lineRule="exact"/>
        <w:ind w:left="2268" w:hanging="11"/>
        <w:jc w:val="both"/>
        <w:rPr>
          <w:rFonts w:cstheme="minorHAnsi"/>
          <w:sz w:val="22"/>
          <w:szCs w:val="22"/>
          <w:lang w:val="pt-BR"/>
        </w:rPr>
      </w:pPr>
      <w:r w:rsidRPr="001E0371">
        <w:rPr>
          <w:rFonts w:cstheme="minorHAnsi"/>
          <w:sz w:val="22"/>
          <w:szCs w:val="22"/>
          <w:lang w:val="pt-BR"/>
        </w:rPr>
        <w:t xml:space="preserve"> A condenação da parte exequente e seu causídico em litigância de má-fé em valor não inferior a 10% sobre o valor corrigido da causa.</w:t>
      </w:r>
    </w:p>
    <w:p w14:paraId="39927E9E" w14:textId="77777777" w:rsidR="001E0371" w:rsidRDefault="001E0371" w:rsidP="003D4F6E">
      <w:pPr>
        <w:spacing w:before="200" w:after="200" w:line="240" w:lineRule="auto"/>
        <w:ind w:firstLine="708"/>
        <w:jc w:val="both"/>
        <w:rPr>
          <w:rFonts w:asciiTheme="minorHAnsi" w:hAnsiTheme="minorHAnsi" w:cstheme="minorHAnsi"/>
        </w:rPr>
      </w:pPr>
    </w:p>
    <w:p w14:paraId="6981FACD" w14:textId="77777777" w:rsidR="001E0371" w:rsidRDefault="001E0371" w:rsidP="003D4F6E">
      <w:pPr>
        <w:spacing w:before="200" w:after="200" w:line="240" w:lineRule="auto"/>
        <w:ind w:firstLine="708"/>
        <w:jc w:val="both"/>
        <w:rPr>
          <w:rFonts w:asciiTheme="minorHAnsi" w:hAnsiTheme="minorHAnsi" w:cstheme="minorHAnsi"/>
        </w:rPr>
      </w:pPr>
    </w:p>
    <w:p w14:paraId="46548A6C" w14:textId="77777777" w:rsidR="001E0371" w:rsidRDefault="001E0371" w:rsidP="003D4F6E">
      <w:pPr>
        <w:spacing w:before="200" w:after="200" w:line="240" w:lineRule="auto"/>
        <w:ind w:firstLine="708"/>
        <w:jc w:val="both"/>
        <w:rPr>
          <w:rFonts w:asciiTheme="minorHAnsi" w:hAnsiTheme="minorHAnsi" w:cstheme="minorHAnsi"/>
        </w:rPr>
      </w:pPr>
    </w:p>
    <w:p w14:paraId="0DDB1584" w14:textId="77777777" w:rsidR="001E0371" w:rsidRPr="001E0371" w:rsidRDefault="001E0371" w:rsidP="003D4F6E">
      <w:pPr>
        <w:spacing w:before="200" w:after="200" w:line="240" w:lineRule="auto"/>
        <w:ind w:firstLine="708"/>
        <w:jc w:val="both"/>
        <w:rPr>
          <w:rFonts w:asciiTheme="minorHAnsi" w:hAnsiTheme="minorHAnsi" w:cstheme="minorHAnsi"/>
        </w:rPr>
      </w:pPr>
    </w:p>
    <w:p w14:paraId="02D2B9DA" w14:textId="4F66E600" w:rsidR="004767F5" w:rsidRPr="001E0371" w:rsidRDefault="00291592" w:rsidP="003D4F6E">
      <w:pPr>
        <w:spacing w:before="200" w:after="200" w:line="240" w:lineRule="auto"/>
        <w:ind w:firstLine="708"/>
        <w:jc w:val="both"/>
        <w:rPr>
          <w:rFonts w:asciiTheme="minorHAnsi" w:hAnsiTheme="minorHAnsi" w:cstheme="minorHAnsi"/>
        </w:rPr>
      </w:pPr>
      <w:r w:rsidRPr="001E0371">
        <w:rPr>
          <w:rFonts w:asciiTheme="minorHAnsi" w:hAnsiTheme="minorHAnsi" w:cstheme="minorHAnsi"/>
        </w:rPr>
        <w:t xml:space="preserve">Requer a Ré que todas as intimações sejam encaminhadas ao escritório de seus patronos, sito na </w:t>
      </w:r>
      <w:r w:rsidRPr="001E0371">
        <w:rPr>
          <w:rFonts w:asciiTheme="minorHAnsi" w:hAnsiTheme="minorHAnsi" w:cstheme="minorHAnsi"/>
          <w:color w:val="000000"/>
        </w:rPr>
        <w:t xml:space="preserve">Rua do Passeio, 38, Torre 2, 15 andar, Sala 1509/1512 – Centro - CEP:20021-290 – RJ – Rio de Janeiro </w:t>
      </w:r>
      <w:r w:rsidRPr="001E0371">
        <w:rPr>
          <w:rFonts w:asciiTheme="minorHAnsi" w:hAnsiTheme="minorHAnsi" w:cstheme="minorHAnsi"/>
        </w:rPr>
        <w:t xml:space="preserve">e que as publicações sejam realizadas, exclusivamente, em nome do patrono </w:t>
      </w:r>
      <w:r w:rsidRPr="001E0371">
        <w:rPr>
          <w:rFonts w:asciiTheme="minorHAnsi" w:hAnsiTheme="minorHAnsi" w:cstheme="minorHAnsi"/>
          <w:b/>
          <w:bCs/>
          <w:u w:val="single"/>
        </w:rPr>
        <w:t>Dr. JOÃO ALVES BARBOSA FILHO,</w:t>
      </w:r>
      <w:r w:rsidRPr="001E0371">
        <w:rPr>
          <w:rFonts w:asciiTheme="minorHAnsi" w:hAnsiTheme="minorHAnsi" w:cstheme="minorHAnsi"/>
        </w:rPr>
        <w:t xml:space="preserve"> inscrito sob o nº </w:t>
      </w:r>
      <w:r w:rsidRPr="001E0371">
        <w:rPr>
          <w:rFonts w:asciiTheme="minorHAnsi" w:hAnsiTheme="minorHAnsi" w:cstheme="minorHAnsi"/>
          <w:b/>
          <w:bCs/>
          <w:u w:val="single"/>
        </w:rPr>
        <w:t>OAB/RS 90657-A,</w:t>
      </w:r>
      <w:r w:rsidRPr="001E0371">
        <w:rPr>
          <w:rFonts w:asciiTheme="minorHAnsi" w:hAnsiTheme="minorHAnsi" w:cstheme="minorHAnsi"/>
        </w:rPr>
        <w:t xml:space="preserve"> sob pena de nulidade das mesmas.</w:t>
      </w:r>
    </w:p>
    <w:p w14:paraId="0A02439E" w14:textId="328A3C56" w:rsidR="004767F5" w:rsidRPr="001E0371" w:rsidRDefault="00291592" w:rsidP="00291592">
      <w:pPr>
        <w:spacing w:before="200" w:after="200" w:line="240" w:lineRule="auto"/>
        <w:jc w:val="both"/>
        <w:rPr>
          <w:rFonts w:asciiTheme="minorHAnsi" w:hAnsiTheme="minorHAnsi" w:cstheme="minorHAnsi"/>
        </w:rPr>
      </w:pPr>
      <w:r w:rsidRPr="001E0371">
        <w:rPr>
          <w:rFonts w:asciiTheme="minorHAnsi" w:hAnsiTheme="minorHAnsi" w:cstheme="minorHAnsi"/>
        </w:rPr>
        <w:t> </w:t>
      </w:r>
    </w:p>
    <w:p w14:paraId="2848D490" w14:textId="5FB55E64"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Nestes Termos,</w:t>
      </w:r>
      <w:r w:rsidRPr="001E0371">
        <w:rPr>
          <w:rFonts w:asciiTheme="minorHAnsi" w:hAnsiTheme="minorHAnsi" w:cstheme="minorHAnsi"/>
        </w:rPr>
        <w:br/>
        <w:t> Pede Deferimento,</w:t>
      </w:r>
      <w:r w:rsidRPr="001E0371">
        <w:rPr>
          <w:rFonts w:asciiTheme="minorHAnsi" w:hAnsiTheme="minorHAnsi" w:cstheme="minorHAnsi"/>
        </w:rPr>
        <w:br/>
      </w:r>
      <w:r w:rsidRPr="001E0371">
        <w:rPr>
          <w:rFonts w:asciiTheme="minorHAnsi" w:hAnsiTheme="minorHAnsi" w:cstheme="minorHAnsi"/>
        </w:rPr>
        <w:br/>
      </w:r>
      <w:r w:rsidR="005A7ADB">
        <w:rPr>
          <w:rFonts w:asciiTheme="minorHAnsi" w:hAnsiTheme="minorHAnsi" w:cstheme="minorHAnsi"/>
        </w:rPr>
        <w:t>CAXIAS DO SUL</w:t>
      </w:r>
      <w:r w:rsidRPr="001E0371">
        <w:rPr>
          <w:rFonts w:asciiTheme="minorHAnsi" w:hAnsiTheme="minorHAnsi" w:cstheme="minorHAnsi"/>
        </w:rPr>
        <w:t xml:space="preserve">, </w:t>
      </w:r>
      <w:r w:rsidR="005A7ADB">
        <w:rPr>
          <w:rFonts w:asciiTheme="minorHAnsi" w:hAnsiTheme="minorHAnsi" w:cstheme="minorHAnsi"/>
        </w:rPr>
        <w:t xml:space="preserve">08 </w:t>
      </w:r>
      <w:r w:rsidRPr="001E0371">
        <w:rPr>
          <w:rFonts w:asciiTheme="minorHAnsi" w:hAnsiTheme="minorHAnsi" w:cstheme="minorHAnsi"/>
        </w:rPr>
        <w:t xml:space="preserve">de </w:t>
      </w:r>
      <w:r w:rsidR="005A7ADB">
        <w:rPr>
          <w:rFonts w:asciiTheme="minorHAnsi" w:hAnsiTheme="minorHAnsi" w:cstheme="minorHAnsi"/>
        </w:rPr>
        <w:t>Setembro</w:t>
      </w:r>
      <w:r w:rsidRPr="001E0371">
        <w:rPr>
          <w:rFonts w:asciiTheme="minorHAnsi" w:hAnsiTheme="minorHAnsi" w:cstheme="minorHAnsi"/>
        </w:rPr>
        <w:t xml:space="preserve"> de 2023.</w:t>
      </w:r>
      <w:r w:rsidRPr="001E0371">
        <w:rPr>
          <w:rFonts w:asciiTheme="minorHAnsi" w:hAnsiTheme="minorHAnsi" w:cstheme="minorHAnsi"/>
        </w:rPr>
        <w:br/>
      </w:r>
      <w:r w:rsidRPr="001E0371">
        <w:rPr>
          <w:rFonts w:asciiTheme="minorHAnsi" w:hAnsiTheme="minorHAnsi" w:cstheme="minorHAnsi"/>
        </w:rPr>
        <w:br/>
      </w:r>
      <w:r w:rsidRPr="001E0371">
        <w:rPr>
          <w:rFonts w:asciiTheme="minorHAnsi" w:hAnsiTheme="minorHAnsi" w:cstheme="minorHAnsi"/>
          <w:b/>
          <w:bCs/>
        </w:rPr>
        <w:t>JOÃO BARBOSA</w:t>
      </w:r>
      <w:r w:rsidRPr="001E0371">
        <w:rPr>
          <w:rFonts w:asciiTheme="minorHAnsi" w:hAnsiTheme="minorHAnsi" w:cstheme="minorHAnsi"/>
          <w:b/>
          <w:bCs/>
        </w:rPr>
        <w:br/>
        <w:t>OAB/RS 90657-A</w:t>
      </w:r>
      <w:r w:rsidRPr="001E0371">
        <w:rPr>
          <w:rFonts w:asciiTheme="minorHAnsi" w:hAnsiTheme="minorHAnsi" w:cstheme="minorHAnsi"/>
          <w:b/>
          <w:bCs/>
        </w:rPr>
        <w:br/>
      </w:r>
      <w:r w:rsidRPr="001E0371">
        <w:rPr>
          <w:rFonts w:asciiTheme="minorHAnsi" w:hAnsiTheme="minorHAnsi" w:cstheme="minorHAnsi"/>
        </w:rPr>
        <w:t> </w:t>
      </w:r>
    </w:p>
    <w:p w14:paraId="0D0F5B3A" w14:textId="77777777"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 </w:t>
      </w:r>
    </w:p>
    <w:p w14:paraId="212B7B6A" w14:textId="77777777"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 </w:t>
      </w:r>
    </w:p>
    <w:p w14:paraId="1C2A65F4" w14:textId="77777777" w:rsidR="004767F5" w:rsidRPr="001E0371" w:rsidRDefault="00291592">
      <w:pPr>
        <w:spacing w:before="200" w:after="200" w:line="240" w:lineRule="auto"/>
        <w:jc w:val="center"/>
        <w:rPr>
          <w:rFonts w:asciiTheme="minorHAnsi" w:hAnsiTheme="minorHAnsi" w:cstheme="minorHAnsi"/>
        </w:rPr>
      </w:pPr>
      <w:r w:rsidRPr="001E0371">
        <w:rPr>
          <w:rFonts w:asciiTheme="minorHAnsi" w:hAnsiTheme="minorHAnsi" w:cstheme="minorHAnsi"/>
        </w:rPr>
        <w:t> </w:t>
      </w:r>
    </w:p>
    <w:sectPr w:rsidR="004767F5" w:rsidRPr="001E0371" w:rsidSect="0076787A">
      <w:footerReference w:type="default" r:id="rId10"/>
      <w:pgSz w:w="11906" w:h="16838"/>
      <w:pgMar w:top="426" w:right="707" w:bottom="284" w:left="1134" w:header="147"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9446FE" w14:textId="77777777" w:rsidR="00CC01AA" w:rsidRDefault="00CC01AA">
      <w:pPr>
        <w:spacing w:after="0" w:line="240" w:lineRule="auto"/>
      </w:pPr>
      <w:r>
        <w:separator/>
      </w:r>
    </w:p>
  </w:endnote>
  <w:endnote w:type="continuationSeparator" w:id="0">
    <w:p w14:paraId="6D084CCB" w14:textId="77777777" w:rsidR="00CC01AA" w:rsidRDefault="00CC0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58477" w14:textId="77777777" w:rsidR="00FA2C18" w:rsidRDefault="00291592" w:rsidP="00FE5317">
    <w:pPr>
      <w:pStyle w:val="Rodap"/>
      <w:jc w:val="center"/>
      <w:rPr>
        <w:sz w:val="18"/>
      </w:rPr>
    </w:pPr>
    <w:r w:rsidRPr="00FA2C18">
      <w:rPr>
        <w:sz w:val="18"/>
      </w:rPr>
      <w:t>Rua do Passeio, 38, Torre 2, 15º andar - Sala 1509/1512 – Centro - RJ – Rio de Janeiro - CEP:20021-290</w:t>
    </w:r>
  </w:p>
  <w:p w14:paraId="73479ECC" w14:textId="77777777" w:rsidR="00FE5317" w:rsidRPr="00FE5317" w:rsidRDefault="00291592" w:rsidP="00FE5317">
    <w:pPr>
      <w:pStyle w:val="Rodap"/>
      <w:jc w:val="center"/>
      <w:rPr>
        <w:sz w:val="18"/>
      </w:rPr>
    </w:pPr>
    <w:r w:rsidRPr="00FE5317">
      <w:rPr>
        <w:sz w:val="18"/>
      </w:rPr>
      <w:t>www.joaobarbosaadvass.com.br</w:t>
    </w:r>
  </w:p>
  <w:p w14:paraId="1DA3E296" w14:textId="77777777" w:rsidR="00FE5317" w:rsidRDefault="00FE531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3316C" w14:textId="77777777" w:rsidR="00CC01AA" w:rsidRDefault="00CC01AA" w:rsidP="00FE5317">
      <w:pPr>
        <w:spacing w:after="0" w:line="240" w:lineRule="auto"/>
      </w:pPr>
      <w:r>
        <w:separator/>
      </w:r>
    </w:p>
  </w:footnote>
  <w:footnote w:type="continuationSeparator" w:id="0">
    <w:p w14:paraId="51207E84" w14:textId="77777777" w:rsidR="00CC01AA" w:rsidRDefault="00CC01AA" w:rsidP="00FE53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CF882758">
      <w:start w:val="1"/>
      <w:numFmt w:val="bullet"/>
      <w:lvlText w:val=""/>
      <w:lvlJc w:val="left"/>
      <w:pPr>
        <w:ind w:left="720" w:hanging="360"/>
      </w:pPr>
      <w:rPr>
        <w:rFonts w:ascii="Symbol" w:hAnsi="Symbol"/>
      </w:rPr>
    </w:lvl>
    <w:lvl w:ilvl="1" w:tplc="E41A454A">
      <w:start w:val="1"/>
      <w:numFmt w:val="bullet"/>
      <w:lvlText w:val="o"/>
      <w:lvlJc w:val="left"/>
      <w:pPr>
        <w:tabs>
          <w:tab w:val="num" w:pos="1440"/>
        </w:tabs>
        <w:ind w:left="1440" w:hanging="360"/>
      </w:pPr>
      <w:rPr>
        <w:rFonts w:ascii="Courier New" w:hAnsi="Courier New"/>
      </w:rPr>
    </w:lvl>
    <w:lvl w:ilvl="2" w:tplc="7570EC1E">
      <w:start w:val="1"/>
      <w:numFmt w:val="bullet"/>
      <w:lvlText w:val=""/>
      <w:lvlJc w:val="left"/>
      <w:pPr>
        <w:tabs>
          <w:tab w:val="num" w:pos="2160"/>
        </w:tabs>
        <w:ind w:left="2160" w:hanging="360"/>
      </w:pPr>
      <w:rPr>
        <w:rFonts w:ascii="Wingdings" w:hAnsi="Wingdings"/>
      </w:rPr>
    </w:lvl>
    <w:lvl w:ilvl="3" w:tplc="F65257B0">
      <w:start w:val="1"/>
      <w:numFmt w:val="bullet"/>
      <w:lvlText w:val=""/>
      <w:lvlJc w:val="left"/>
      <w:pPr>
        <w:tabs>
          <w:tab w:val="num" w:pos="2880"/>
        </w:tabs>
        <w:ind w:left="2880" w:hanging="360"/>
      </w:pPr>
      <w:rPr>
        <w:rFonts w:ascii="Symbol" w:hAnsi="Symbol"/>
      </w:rPr>
    </w:lvl>
    <w:lvl w:ilvl="4" w:tplc="5868FA62">
      <w:start w:val="1"/>
      <w:numFmt w:val="bullet"/>
      <w:lvlText w:val="o"/>
      <w:lvlJc w:val="left"/>
      <w:pPr>
        <w:tabs>
          <w:tab w:val="num" w:pos="3600"/>
        </w:tabs>
        <w:ind w:left="3600" w:hanging="360"/>
      </w:pPr>
      <w:rPr>
        <w:rFonts w:ascii="Courier New" w:hAnsi="Courier New"/>
      </w:rPr>
    </w:lvl>
    <w:lvl w:ilvl="5" w:tplc="4558D796">
      <w:start w:val="1"/>
      <w:numFmt w:val="bullet"/>
      <w:lvlText w:val=""/>
      <w:lvlJc w:val="left"/>
      <w:pPr>
        <w:tabs>
          <w:tab w:val="num" w:pos="4320"/>
        </w:tabs>
        <w:ind w:left="4320" w:hanging="360"/>
      </w:pPr>
      <w:rPr>
        <w:rFonts w:ascii="Wingdings" w:hAnsi="Wingdings"/>
      </w:rPr>
    </w:lvl>
    <w:lvl w:ilvl="6" w:tplc="49EEA4D4">
      <w:start w:val="1"/>
      <w:numFmt w:val="bullet"/>
      <w:lvlText w:val=""/>
      <w:lvlJc w:val="left"/>
      <w:pPr>
        <w:tabs>
          <w:tab w:val="num" w:pos="5040"/>
        </w:tabs>
        <w:ind w:left="5040" w:hanging="360"/>
      </w:pPr>
      <w:rPr>
        <w:rFonts w:ascii="Symbol" w:hAnsi="Symbol"/>
      </w:rPr>
    </w:lvl>
    <w:lvl w:ilvl="7" w:tplc="C84245D2">
      <w:start w:val="1"/>
      <w:numFmt w:val="bullet"/>
      <w:lvlText w:val="o"/>
      <w:lvlJc w:val="left"/>
      <w:pPr>
        <w:tabs>
          <w:tab w:val="num" w:pos="5760"/>
        </w:tabs>
        <w:ind w:left="5760" w:hanging="360"/>
      </w:pPr>
      <w:rPr>
        <w:rFonts w:ascii="Courier New" w:hAnsi="Courier New"/>
      </w:rPr>
    </w:lvl>
    <w:lvl w:ilvl="8" w:tplc="002C16B2">
      <w:start w:val="1"/>
      <w:numFmt w:val="bullet"/>
      <w:lvlText w:val=""/>
      <w:lvlJc w:val="left"/>
      <w:pPr>
        <w:tabs>
          <w:tab w:val="num" w:pos="6480"/>
        </w:tabs>
        <w:ind w:left="6480" w:hanging="360"/>
      </w:pPr>
      <w:rPr>
        <w:rFonts w:ascii="Wingdings" w:hAnsi="Wingdings"/>
      </w:rPr>
    </w:lvl>
  </w:abstractNum>
  <w:abstractNum w:abstractNumId="1" w15:restartNumberingAfterBreak="0">
    <w:nsid w:val="04FC60BD"/>
    <w:multiLevelType w:val="hybridMultilevel"/>
    <w:tmpl w:val="ED406FFA"/>
    <w:lvl w:ilvl="0" w:tplc="DB4C6CE6">
      <w:start w:val="1"/>
      <w:numFmt w:val="lowerRoman"/>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D803EB8"/>
    <w:multiLevelType w:val="hybridMultilevel"/>
    <w:tmpl w:val="4ACCDD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27034FC"/>
    <w:multiLevelType w:val="hybridMultilevel"/>
    <w:tmpl w:val="13B6A5B4"/>
    <w:lvl w:ilvl="0" w:tplc="D70ED4A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74879607">
    <w:abstractNumId w:val="0"/>
  </w:num>
  <w:num w:numId="2" w16cid:durableId="613942946">
    <w:abstractNumId w:val="3"/>
  </w:num>
  <w:num w:numId="3" w16cid:durableId="559512856">
    <w:abstractNumId w:val="2"/>
  </w:num>
  <w:num w:numId="4" w16cid:durableId="1146049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9B7"/>
    <w:rsid w:val="000901AA"/>
    <w:rsid w:val="000C60A8"/>
    <w:rsid w:val="001E0371"/>
    <w:rsid w:val="00291592"/>
    <w:rsid w:val="00326B23"/>
    <w:rsid w:val="003349B7"/>
    <w:rsid w:val="0037684E"/>
    <w:rsid w:val="00387F34"/>
    <w:rsid w:val="003D4F6E"/>
    <w:rsid w:val="003F5DCE"/>
    <w:rsid w:val="00404C94"/>
    <w:rsid w:val="0044212A"/>
    <w:rsid w:val="004438A4"/>
    <w:rsid w:val="004550DE"/>
    <w:rsid w:val="004767F5"/>
    <w:rsid w:val="00486EBB"/>
    <w:rsid w:val="004D250C"/>
    <w:rsid w:val="0052134B"/>
    <w:rsid w:val="00530F86"/>
    <w:rsid w:val="005663F9"/>
    <w:rsid w:val="005869BC"/>
    <w:rsid w:val="005A1A13"/>
    <w:rsid w:val="005A7ADB"/>
    <w:rsid w:val="005D4224"/>
    <w:rsid w:val="005E1F47"/>
    <w:rsid w:val="00606A04"/>
    <w:rsid w:val="00654BB2"/>
    <w:rsid w:val="006722CA"/>
    <w:rsid w:val="006A71F7"/>
    <w:rsid w:val="006B1470"/>
    <w:rsid w:val="006E4999"/>
    <w:rsid w:val="006F66E3"/>
    <w:rsid w:val="006F7A6B"/>
    <w:rsid w:val="00701612"/>
    <w:rsid w:val="0076787A"/>
    <w:rsid w:val="007B689A"/>
    <w:rsid w:val="007E1F86"/>
    <w:rsid w:val="00811EE6"/>
    <w:rsid w:val="00873596"/>
    <w:rsid w:val="008A31CF"/>
    <w:rsid w:val="008E1AB2"/>
    <w:rsid w:val="00956E0D"/>
    <w:rsid w:val="009A636B"/>
    <w:rsid w:val="009D3C6C"/>
    <w:rsid w:val="009E3B76"/>
    <w:rsid w:val="00A86851"/>
    <w:rsid w:val="00BF4FBC"/>
    <w:rsid w:val="00CC01AA"/>
    <w:rsid w:val="00D07901"/>
    <w:rsid w:val="00E67247"/>
    <w:rsid w:val="00EB6B0C"/>
    <w:rsid w:val="00EC3A99"/>
    <w:rsid w:val="00F26943"/>
    <w:rsid w:val="00FA2C18"/>
    <w:rsid w:val="00FE5317"/>
  </w:rsids>
  <m:mathPr>
    <m:mathFont m:val="Cambria Math"/>
    <m:brkBin m:val="before"/>
    <m:brkBinSub m:val="--"/>
    <m:smallFrac m:val="0"/>
    <m:dispDef/>
    <m:lMargin m:val="0"/>
    <m:rMargin m:val="0"/>
    <m:defJc m:val="centerGroup"/>
    <m:wrapRight/>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CCEBF"/>
  <w15:docId w15:val="{B1D53E81-F9B1-477C-BA7B-E1908A80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E531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E5317"/>
  </w:style>
  <w:style w:type="paragraph" w:styleId="Rodap">
    <w:name w:val="footer"/>
    <w:basedOn w:val="Normal"/>
    <w:link w:val="RodapChar"/>
    <w:uiPriority w:val="99"/>
    <w:unhideWhenUsed/>
    <w:rsid w:val="00FE5317"/>
    <w:pPr>
      <w:tabs>
        <w:tab w:val="center" w:pos="4252"/>
        <w:tab w:val="right" w:pos="8504"/>
      </w:tabs>
      <w:spacing w:after="0" w:line="240" w:lineRule="auto"/>
    </w:pPr>
  </w:style>
  <w:style w:type="character" w:customStyle="1" w:styleId="RodapChar">
    <w:name w:val="Rodapé Char"/>
    <w:basedOn w:val="Fontepargpadro"/>
    <w:link w:val="Rodap"/>
    <w:uiPriority w:val="99"/>
    <w:rsid w:val="00FE5317"/>
  </w:style>
  <w:style w:type="character" w:customStyle="1" w:styleId="var">
    <w:name w:val="var"/>
    <w:basedOn w:val="Fontepargpadro"/>
  </w:style>
  <w:style w:type="character" w:styleId="Refdenotaderodap">
    <w:name w:val="footnote reference"/>
    <w:basedOn w:val="Fontepargpadro"/>
    <w:rsid w:val="00805BCE"/>
    <w:rPr>
      <w:vertAlign w:val="superscript"/>
    </w:rPr>
  </w:style>
  <w:style w:type="paragraph" w:styleId="Textodenotaderodap">
    <w:name w:val="footnote text"/>
    <w:basedOn w:val="Normal"/>
    <w:rsid w:val="00805BCE"/>
    <w:rPr>
      <w:sz w:val="20"/>
      <w:szCs w:val="20"/>
    </w:rPr>
  </w:style>
  <w:style w:type="paragraph" w:styleId="PargrafodaLista">
    <w:name w:val="List Paragraph"/>
    <w:basedOn w:val="Normal"/>
    <w:uiPriority w:val="34"/>
    <w:qFormat/>
    <w:rsid w:val="001E0371"/>
    <w:pPr>
      <w:spacing w:after="0" w:line="240" w:lineRule="auto"/>
      <w:ind w:left="720"/>
      <w:contextualSpacing/>
    </w:pPr>
    <w:rPr>
      <w:rFonts w:asciiTheme="minorHAnsi" w:eastAsiaTheme="minorEastAsia" w:hAnsiTheme="minorHAnsi" w:cstheme="minorBidi"/>
      <w:sz w:val="24"/>
      <w:szCs w:val="24"/>
      <w:lang w:val="en-US" w:eastAsia="ja-JP"/>
    </w:rPr>
  </w:style>
  <w:style w:type="paragraph" w:customStyle="1" w:styleId="artigo">
    <w:name w:val="artigo"/>
    <w:basedOn w:val="Normal"/>
    <w:rsid w:val="001E0371"/>
    <w:pPr>
      <w:spacing w:before="100" w:beforeAutospacing="1" w:after="100" w:afterAutospacing="1" w:line="240" w:lineRule="auto"/>
    </w:pPr>
    <w:rPr>
      <w:rFonts w:ascii="Times New Roman" w:eastAsia="Times New Roman" w:hAnsi="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00634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3AE5-D997-4FE1-862F-68EBCCDF9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1828</Words>
  <Characters>9874</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Walter Araujo</dc:creator>
  <cp:lastModifiedBy>Lohan dos Santos Mota</cp:lastModifiedBy>
  <cp:revision>3</cp:revision>
  <dcterms:created xsi:type="dcterms:W3CDTF">2023-09-08T20:09:00Z</dcterms:created>
  <dcterms:modified xsi:type="dcterms:W3CDTF">2023-09-08T20:14:00Z</dcterms:modified>
</cp:coreProperties>
</file>