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0D2E6383" w:rsidR="004767F5" w:rsidRDefault="004767F5">
      <w:pPr>
        <w:spacing w:after="200" w:line="240" w:lineRule="auto"/>
        <w:jc w:val="right"/>
        <w:rPr>
          <w:rFonts w:cs="Calibri"/>
          <w:sz w:val="20"/>
          <w:szCs w:val="20"/>
        </w:rPr>
      </w:pP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Default="00291592">
            <w:pPr>
              <w:spacing w:after="0" w:line="240" w:lineRule="auto"/>
              <w:jc w:val="center"/>
              <w:rPr>
                <w:rFonts w:cs="Calibri"/>
                <w:color w:val="000000"/>
                <w:sz w:val="24"/>
                <w:szCs w:val="24"/>
              </w:rPr>
            </w:pPr>
            <w:r>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Default="00291592">
      <w:pPr>
        <w:spacing w:after="200" w:line="240" w:lineRule="auto"/>
        <w:jc w:val="both"/>
        <w:rPr>
          <w:rFonts w:cs="Calibri"/>
          <w:sz w:val="20"/>
          <w:szCs w:val="20"/>
        </w:rPr>
      </w:pPr>
      <w:r>
        <w:rPr>
          <w:rFonts w:cs="Calibri"/>
          <w:sz w:val="20"/>
          <w:szCs w:val="20"/>
        </w:rPr>
        <w:t> </w:t>
      </w:r>
    </w:p>
    <w:p w14:paraId="05072340" w14:textId="77777777" w:rsidR="004767F5" w:rsidRDefault="00291592">
      <w:pPr>
        <w:spacing w:before="200" w:after="200" w:line="240" w:lineRule="auto"/>
        <w:jc w:val="both"/>
        <w:rPr>
          <w:rFonts w:cs="Calibri"/>
          <w:sz w:val="20"/>
          <w:szCs w:val="20"/>
        </w:rPr>
      </w:pPr>
      <w:r>
        <w:rPr>
          <w:rFonts w:cs="Calibri"/>
          <w:sz w:val="20"/>
          <w:szCs w:val="20"/>
        </w:rPr>
        <w:t> </w:t>
      </w:r>
    </w:p>
    <w:p w14:paraId="7DDFF61C" w14:textId="77777777" w:rsidR="004767F5" w:rsidRDefault="00291592">
      <w:pPr>
        <w:spacing w:before="200" w:after="200" w:line="240" w:lineRule="auto"/>
        <w:jc w:val="both"/>
        <w:rPr>
          <w:rFonts w:cs="Calibri"/>
          <w:sz w:val="20"/>
          <w:szCs w:val="20"/>
        </w:rPr>
      </w:pPr>
      <w:r>
        <w:rPr>
          <w:rFonts w:cs="Calibri"/>
          <w:sz w:val="20"/>
          <w:szCs w:val="20"/>
        </w:rPr>
        <w:t> </w:t>
      </w:r>
    </w:p>
    <w:p w14:paraId="13F1824A" w14:textId="77777777" w:rsidR="004767F5" w:rsidRDefault="00291592">
      <w:pPr>
        <w:spacing w:before="200" w:after="200" w:line="240" w:lineRule="auto"/>
        <w:jc w:val="center"/>
        <w:rPr>
          <w:rFonts w:cs="Calibri"/>
          <w:sz w:val="20"/>
          <w:szCs w:val="20"/>
        </w:rPr>
      </w:pPr>
      <w:r>
        <w:rPr>
          <w:rFonts w:cs="Calibri"/>
          <w:sz w:val="20"/>
          <w:szCs w:val="20"/>
        </w:rPr>
        <w:t> </w:t>
      </w:r>
    </w:p>
    <w:p w14:paraId="33201CF0" w14:textId="77777777" w:rsidR="004767F5" w:rsidRDefault="00291592">
      <w:pPr>
        <w:spacing w:before="200" w:after="200" w:line="240" w:lineRule="auto"/>
        <w:jc w:val="both"/>
        <w:rPr>
          <w:rFonts w:cs="Calibri"/>
          <w:sz w:val="20"/>
          <w:szCs w:val="20"/>
        </w:rPr>
      </w:pPr>
      <w:r>
        <w:rPr>
          <w:rFonts w:cs="Calibri"/>
          <w:sz w:val="20"/>
          <w:szCs w:val="20"/>
        </w:rPr>
        <w:t> </w:t>
      </w:r>
    </w:p>
    <w:p w14:paraId="7202E4AC" w14:textId="77777777" w:rsidR="004767F5" w:rsidRDefault="00291592">
      <w:pPr>
        <w:spacing w:before="200" w:after="200" w:line="240" w:lineRule="auto"/>
        <w:jc w:val="both"/>
        <w:rPr>
          <w:rFonts w:cs="Calibri"/>
          <w:sz w:val="20"/>
          <w:szCs w:val="20"/>
        </w:rPr>
      </w:pPr>
      <w:r>
        <w:rPr>
          <w:rFonts w:cs="Calibri"/>
          <w:sz w:val="20"/>
          <w:szCs w:val="20"/>
        </w:rPr>
        <w:t> </w:t>
      </w:r>
    </w:p>
    <w:p w14:paraId="740B913E" w14:textId="77777777" w:rsidR="004767F5" w:rsidRDefault="00291592">
      <w:pPr>
        <w:spacing w:before="200" w:after="200" w:line="240" w:lineRule="auto"/>
        <w:jc w:val="both"/>
        <w:rPr>
          <w:rFonts w:cs="Calibri"/>
          <w:sz w:val="20"/>
          <w:szCs w:val="20"/>
        </w:rPr>
      </w:pPr>
      <w:r>
        <w:rPr>
          <w:rFonts w:cs="Calibri"/>
          <w:sz w:val="20"/>
          <w:szCs w:val="20"/>
        </w:rPr>
        <w:t> </w:t>
      </w:r>
    </w:p>
    <w:p w14:paraId="7ACFF3FA" w14:textId="5B3084F0" w:rsidR="004767F5" w:rsidRPr="00DC4F88" w:rsidRDefault="00291592">
      <w:pPr>
        <w:spacing w:before="200" w:after="200" w:line="240" w:lineRule="auto"/>
        <w:rPr>
          <w:rFonts w:cs="Calibri"/>
          <w:sz w:val="24"/>
          <w:szCs w:val="24"/>
        </w:rPr>
      </w:pPr>
      <w:r w:rsidRPr="00DC4F88">
        <w:rPr>
          <w:rFonts w:cs="Calibri"/>
          <w:b/>
          <w:bCs/>
          <w:sz w:val="24"/>
          <w:szCs w:val="24"/>
        </w:rPr>
        <w:t xml:space="preserve">EXMO. SR. DR. JUIZ FEDERAL DA </w:t>
      </w:r>
      <w:r w:rsidR="00860310">
        <w:rPr>
          <w:rFonts w:cs="Calibri"/>
          <w:b/>
          <w:bCs/>
          <w:sz w:val="24"/>
          <w:szCs w:val="24"/>
        </w:rPr>
        <w:t>1</w:t>
      </w:r>
      <w:r w:rsidRPr="00DC4F88">
        <w:rPr>
          <w:rFonts w:cs="Calibri"/>
          <w:b/>
          <w:bCs/>
          <w:sz w:val="24"/>
          <w:szCs w:val="24"/>
        </w:rPr>
        <w:t xml:space="preserve">ª VARA FEDERAL DA SUBSEÇÃO DE </w:t>
      </w:r>
      <w:r w:rsidR="00860310">
        <w:rPr>
          <w:rFonts w:cs="Calibri"/>
          <w:b/>
          <w:bCs/>
          <w:sz w:val="24"/>
          <w:szCs w:val="24"/>
        </w:rPr>
        <w:t>ERECHIM</w:t>
      </w:r>
      <w:r w:rsidRPr="00DC4F88">
        <w:rPr>
          <w:rFonts w:cs="Calibri"/>
          <w:b/>
          <w:bCs/>
          <w:sz w:val="24"/>
          <w:szCs w:val="24"/>
        </w:rPr>
        <w:t xml:space="preserve"> – SEÇÃO JUDICIÁRIA DO RIO GRANDE DO SUL</w:t>
      </w:r>
    </w:p>
    <w:p w14:paraId="16CFB2C9" w14:textId="77777777" w:rsidR="004767F5" w:rsidRPr="00DC4F88" w:rsidRDefault="00291592">
      <w:pPr>
        <w:spacing w:before="200" w:after="200" w:line="240" w:lineRule="auto"/>
        <w:jc w:val="both"/>
        <w:rPr>
          <w:rFonts w:cs="Calibri"/>
          <w:sz w:val="24"/>
          <w:szCs w:val="24"/>
        </w:rPr>
      </w:pPr>
      <w:r w:rsidRPr="00DC4F88">
        <w:rPr>
          <w:rFonts w:cs="Calibri"/>
          <w:sz w:val="24"/>
          <w:szCs w:val="24"/>
        </w:rPr>
        <w:t> </w:t>
      </w:r>
    </w:p>
    <w:p w14:paraId="390A9153" w14:textId="77777777" w:rsidR="004767F5" w:rsidRPr="00DC4F88" w:rsidRDefault="00291592">
      <w:pPr>
        <w:spacing w:before="200" w:after="200" w:line="240" w:lineRule="auto"/>
        <w:jc w:val="both"/>
        <w:rPr>
          <w:rFonts w:cs="Calibri"/>
          <w:sz w:val="24"/>
          <w:szCs w:val="24"/>
        </w:rPr>
      </w:pPr>
      <w:r w:rsidRPr="00DC4F88">
        <w:rPr>
          <w:rFonts w:cs="Calibri"/>
          <w:sz w:val="24"/>
          <w:szCs w:val="24"/>
        </w:rPr>
        <w:t> </w:t>
      </w:r>
    </w:p>
    <w:p w14:paraId="657601DB" w14:textId="77777777" w:rsidR="004767F5" w:rsidRPr="00DC4F88" w:rsidRDefault="00291592">
      <w:pPr>
        <w:spacing w:before="200" w:after="200" w:line="240" w:lineRule="auto"/>
        <w:jc w:val="both"/>
        <w:rPr>
          <w:rFonts w:cs="Calibri"/>
          <w:sz w:val="24"/>
          <w:szCs w:val="24"/>
        </w:rPr>
      </w:pPr>
      <w:r w:rsidRPr="00DC4F88">
        <w:rPr>
          <w:rFonts w:cs="Calibri"/>
          <w:sz w:val="24"/>
          <w:szCs w:val="24"/>
        </w:rPr>
        <w:t> </w:t>
      </w:r>
    </w:p>
    <w:p w14:paraId="7B320D31" w14:textId="61B35738" w:rsidR="004767F5" w:rsidRPr="00860310" w:rsidRDefault="00291592" w:rsidP="00860310">
      <w:pPr>
        <w:spacing w:before="200" w:after="200" w:line="240" w:lineRule="auto"/>
        <w:jc w:val="both"/>
      </w:pPr>
      <w:r w:rsidRPr="00DC4F88">
        <w:rPr>
          <w:rFonts w:cs="Calibri"/>
          <w:b/>
          <w:bCs/>
          <w:sz w:val="24"/>
          <w:szCs w:val="24"/>
        </w:rPr>
        <w:t xml:space="preserve">Processo: </w:t>
      </w:r>
      <w:r w:rsidR="00860310">
        <w:t>5002910-46.2023.4.04.7117/RS</w:t>
      </w:r>
      <w:r w:rsidR="00860310">
        <w:cr/>
      </w:r>
    </w:p>
    <w:p w14:paraId="2A10DF5F" w14:textId="36D62CEF" w:rsidR="004767F5" w:rsidRPr="00DC4F88" w:rsidRDefault="00291592" w:rsidP="006B1470">
      <w:pPr>
        <w:spacing w:after="200" w:line="240" w:lineRule="auto"/>
        <w:rPr>
          <w:rFonts w:cs="Calibri"/>
          <w:sz w:val="24"/>
          <w:szCs w:val="24"/>
        </w:rPr>
      </w:pPr>
      <w:r w:rsidRPr="00DC4F88">
        <w:rPr>
          <w:rFonts w:cs="Calibri"/>
          <w:sz w:val="24"/>
          <w:szCs w:val="24"/>
        </w:rPr>
        <w:t> </w:t>
      </w:r>
    </w:p>
    <w:p w14:paraId="6455FDDA" w14:textId="77777777" w:rsidR="004767F5" w:rsidRPr="00DC4F88" w:rsidRDefault="00291592">
      <w:pPr>
        <w:spacing w:before="200" w:after="200" w:line="240" w:lineRule="auto"/>
        <w:rPr>
          <w:rFonts w:cs="Calibri"/>
          <w:sz w:val="24"/>
          <w:szCs w:val="24"/>
        </w:rPr>
      </w:pPr>
      <w:r w:rsidRPr="00DC4F88">
        <w:rPr>
          <w:rFonts w:cs="Calibri"/>
          <w:sz w:val="24"/>
          <w:szCs w:val="24"/>
        </w:rPr>
        <w:t> </w:t>
      </w:r>
    </w:p>
    <w:p w14:paraId="51F872D4" w14:textId="77777777" w:rsidR="004767F5" w:rsidRPr="00DC4F88" w:rsidRDefault="00291592">
      <w:pPr>
        <w:spacing w:before="200" w:after="200" w:line="240" w:lineRule="auto"/>
        <w:rPr>
          <w:rFonts w:cs="Calibri"/>
          <w:sz w:val="24"/>
          <w:szCs w:val="24"/>
        </w:rPr>
      </w:pPr>
      <w:r w:rsidRPr="00DC4F88">
        <w:rPr>
          <w:rFonts w:cs="Calibri"/>
          <w:sz w:val="24"/>
          <w:szCs w:val="24"/>
        </w:rPr>
        <w:t> </w:t>
      </w:r>
    </w:p>
    <w:p w14:paraId="435A18AA" w14:textId="55929B6A" w:rsidR="004767F5" w:rsidRPr="00DC4F88" w:rsidRDefault="006B1470">
      <w:pPr>
        <w:spacing w:before="200" w:after="200" w:line="240" w:lineRule="auto"/>
        <w:ind w:firstLine="1701"/>
        <w:jc w:val="both"/>
        <w:rPr>
          <w:rFonts w:cs="Calibri"/>
          <w:sz w:val="24"/>
          <w:szCs w:val="24"/>
        </w:rPr>
      </w:pPr>
      <w:r w:rsidRPr="00DC4F88">
        <w:rPr>
          <w:rFonts w:cs="Calibri"/>
          <w:b/>
          <w:bCs/>
          <w:sz w:val="24"/>
          <w:szCs w:val="24"/>
        </w:rPr>
        <w:t>CAIXA ECONÔMICA FEDERAL – CEF</w:t>
      </w:r>
      <w:r w:rsidRPr="00DC4F88">
        <w:rPr>
          <w:rFonts w:cs="Calibri"/>
          <w:sz w:val="24"/>
          <w:szCs w:val="24"/>
        </w:rPr>
        <w:t>, instituição financeira sob a forma de empresa pública, inscrita no CGC/MF sob n.º 00.360.305/1780-00, com sede em Brasília/DF e Escritório de Negócios neste Estado, com endereço na Rua dos Andradas, n.º 1000, em Porto Alegre/RS,</w:t>
      </w:r>
      <w:r w:rsidR="00291592" w:rsidRPr="00DC4F88">
        <w:rPr>
          <w:rFonts w:cs="Calibri"/>
          <w:sz w:val="24"/>
          <w:szCs w:val="24"/>
        </w:rPr>
        <w:t xml:space="preserve">, onde recebe citações, intimações e notificações de estilo, por seu advogado que esta subscreve, mandato incluso nos autos da </w:t>
      </w:r>
      <w:r w:rsidR="00291592" w:rsidRPr="00DC4F88">
        <w:rPr>
          <w:rFonts w:cs="Calibri"/>
          <w:b/>
          <w:bCs/>
          <w:i/>
          <w:iCs/>
          <w:sz w:val="24"/>
          <w:szCs w:val="24"/>
        </w:rPr>
        <w:t xml:space="preserve">AÇÃO DE </w:t>
      </w:r>
      <w:r w:rsidRPr="00DC4F88">
        <w:rPr>
          <w:rFonts w:cs="Calibri"/>
          <w:b/>
          <w:bCs/>
          <w:i/>
          <w:iCs/>
          <w:sz w:val="24"/>
          <w:szCs w:val="24"/>
        </w:rPr>
        <w:t>INDENIZAÇÃO POR DANOS MATERIAIS E MORAIS</w:t>
      </w:r>
      <w:r w:rsidR="00291592" w:rsidRPr="00DC4F88">
        <w:rPr>
          <w:rFonts w:cs="Calibri"/>
          <w:b/>
          <w:bCs/>
          <w:i/>
          <w:iCs/>
          <w:sz w:val="24"/>
          <w:szCs w:val="24"/>
        </w:rPr>
        <w:t xml:space="preserve">, </w:t>
      </w:r>
      <w:r w:rsidR="00291592" w:rsidRPr="00DC4F88">
        <w:rPr>
          <w:rFonts w:cs="Calibri"/>
          <w:sz w:val="24"/>
          <w:szCs w:val="24"/>
        </w:rPr>
        <w:t xml:space="preserve">que lhe promove </w:t>
      </w:r>
      <w:r w:rsidR="00860310" w:rsidRPr="00860310">
        <w:rPr>
          <w:rFonts w:cs="Calibri"/>
          <w:b/>
          <w:bCs/>
          <w:sz w:val="24"/>
          <w:szCs w:val="24"/>
        </w:rPr>
        <w:t>ANDREI CEOLIN</w:t>
      </w:r>
      <w:r w:rsidR="00291592" w:rsidRPr="00DC4F88">
        <w:rPr>
          <w:rFonts w:cs="Calibri"/>
          <w:sz w:val="24"/>
          <w:szCs w:val="24"/>
        </w:rPr>
        <w:t xml:space="preserve">, em trâmite perante este Douto Juízo, vem, </w:t>
      </w:r>
      <w:r w:rsidR="00291592" w:rsidRPr="00DC4F88">
        <w:rPr>
          <w:rFonts w:cs="Calibri"/>
          <w:i/>
          <w:iCs/>
          <w:sz w:val="24"/>
          <w:szCs w:val="24"/>
        </w:rPr>
        <w:t>mui</w:t>
      </w:r>
      <w:r w:rsidR="00291592" w:rsidRPr="00DC4F88">
        <w:rPr>
          <w:rFonts w:cs="Calibri"/>
          <w:sz w:val="24"/>
          <w:szCs w:val="24"/>
        </w:rPr>
        <w:t xml:space="preserve"> respeitosamente, à presença de Vossa Excelência, apresentar</w:t>
      </w:r>
    </w:p>
    <w:p w14:paraId="72710FF1" w14:textId="77777777" w:rsidR="004767F5" w:rsidRPr="00DC4F88" w:rsidRDefault="00291592">
      <w:pPr>
        <w:spacing w:before="200" w:after="200" w:line="240" w:lineRule="auto"/>
        <w:jc w:val="center"/>
        <w:rPr>
          <w:rFonts w:cs="Calibri"/>
          <w:sz w:val="24"/>
          <w:szCs w:val="24"/>
        </w:rPr>
      </w:pPr>
      <w:r w:rsidRPr="00DC4F88">
        <w:rPr>
          <w:rFonts w:cs="Calibri"/>
          <w:b/>
          <w:bCs/>
          <w:sz w:val="24"/>
          <w:szCs w:val="24"/>
        </w:rPr>
        <w:t>C O N T E S T A Ç Ã O</w:t>
      </w:r>
    </w:p>
    <w:p w14:paraId="767D76C0" w14:textId="77777777" w:rsidR="004767F5" w:rsidRPr="00DC4F88" w:rsidRDefault="00291592">
      <w:pPr>
        <w:spacing w:before="200" w:after="200" w:line="240" w:lineRule="auto"/>
        <w:jc w:val="both"/>
        <w:rPr>
          <w:rFonts w:cs="Calibri"/>
          <w:sz w:val="24"/>
          <w:szCs w:val="24"/>
        </w:rPr>
      </w:pPr>
      <w:r w:rsidRPr="00DC4F88">
        <w:rPr>
          <w:rFonts w:cs="Calibri"/>
          <w:sz w:val="24"/>
          <w:szCs w:val="24"/>
        </w:rPr>
        <w:t>Consoante às razões de fato e de direito que passa a expor</w:t>
      </w:r>
    </w:p>
    <w:p w14:paraId="2AC208A0" w14:textId="77777777" w:rsidR="006B7F84" w:rsidRPr="00DC4F88" w:rsidRDefault="006B7F84">
      <w:pPr>
        <w:spacing w:before="200" w:after="200" w:line="240" w:lineRule="auto"/>
        <w:jc w:val="center"/>
        <w:rPr>
          <w:rFonts w:cs="Calibri"/>
          <w:b/>
          <w:bCs/>
          <w:sz w:val="24"/>
          <w:szCs w:val="24"/>
          <w:u w:val="single"/>
        </w:rPr>
      </w:pPr>
    </w:p>
    <w:p w14:paraId="46419AA9" w14:textId="1152A649" w:rsidR="004767F5" w:rsidRPr="00DC4F88" w:rsidRDefault="00291592">
      <w:pPr>
        <w:spacing w:before="200" w:after="200" w:line="240" w:lineRule="auto"/>
        <w:jc w:val="center"/>
        <w:rPr>
          <w:rFonts w:cs="Calibri"/>
          <w:sz w:val="24"/>
          <w:szCs w:val="24"/>
        </w:rPr>
      </w:pPr>
      <w:r w:rsidRPr="00DC4F88">
        <w:rPr>
          <w:rFonts w:cs="Calibri"/>
          <w:b/>
          <w:bCs/>
          <w:sz w:val="24"/>
          <w:szCs w:val="24"/>
          <w:u w:val="single"/>
        </w:rPr>
        <w:t>BREVE SÍNTESE DA DEMANDA</w:t>
      </w:r>
    </w:p>
    <w:p w14:paraId="49CFE144" w14:textId="77777777" w:rsidR="006B1470" w:rsidRPr="00DC4F88" w:rsidRDefault="006B1470" w:rsidP="00616B5B">
      <w:pPr>
        <w:spacing w:before="200" w:after="200" w:line="240" w:lineRule="auto"/>
        <w:ind w:firstLine="708"/>
        <w:jc w:val="both"/>
        <w:rPr>
          <w:rFonts w:cs="Calibri"/>
          <w:sz w:val="24"/>
          <w:szCs w:val="24"/>
        </w:rPr>
      </w:pPr>
      <w:r w:rsidRPr="00DC4F88">
        <w:rPr>
          <w:rFonts w:cs="Calibri"/>
          <w:sz w:val="24"/>
          <w:szCs w:val="24"/>
        </w:rPr>
        <w:t xml:space="preserve">Trata-se de ação </w:t>
      </w:r>
      <w:proofErr w:type="gramStart"/>
      <w:r w:rsidRPr="00DC4F88">
        <w:rPr>
          <w:rFonts w:cs="Calibri"/>
          <w:sz w:val="24"/>
          <w:szCs w:val="24"/>
        </w:rPr>
        <w:t>onde</w:t>
      </w:r>
      <w:proofErr w:type="gramEnd"/>
      <w:r w:rsidRPr="00DC4F88">
        <w:rPr>
          <w:rFonts w:cs="Calibri"/>
          <w:sz w:val="24"/>
          <w:szCs w:val="24"/>
        </w:rPr>
        <w:t xml:space="preserve"> a parte autora narra que celebrou contrato de financiamento imobiliário junto à CAIXA, para aquisição de unidade habitacional. Alega que a construção foi executada sem a observância de normas básicas e com a utilização de materiais de má qualidade, motivo pela qual aduz que existem danos físicos no imóvel. </w:t>
      </w:r>
    </w:p>
    <w:p w14:paraId="67D33E2E" w14:textId="70C2DBF0" w:rsidR="006B1470" w:rsidRPr="00DC4F88" w:rsidRDefault="006B1470" w:rsidP="00616B5B">
      <w:pPr>
        <w:spacing w:before="200" w:after="200" w:line="240" w:lineRule="auto"/>
        <w:ind w:firstLine="708"/>
        <w:jc w:val="both"/>
        <w:rPr>
          <w:rFonts w:cs="Calibri"/>
          <w:sz w:val="24"/>
          <w:szCs w:val="24"/>
        </w:rPr>
      </w:pPr>
      <w:r w:rsidRPr="00DC4F88">
        <w:rPr>
          <w:rFonts w:cs="Calibri"/>
          <w:sz w:val="24"/>
          <w:szCs w:val="24"/>
        </w:rPr>
        <w:t>Assim, requer, liminarmente, a inversão do ônus da prova; no mérito, requer a condenação da parte ré ao pagamento de indenização por danos morais e ao pagamento de indenização por danos materiais</w:t>
      </w:r>
      <w:r w:rsidR="00DC4F88">
        <w:rPr>
          <w:rFonts w:cs="Calibri"/>
          <w:sz w:val="24"/>
          <w:szCs w:val="24"/>
        </w:rPr>
        <w:t>.</w:t>
      </w:r>
      <w:r w:rsidRPr="00DC4F88">
        <w:rPr>
          <w:rFonts w:cs="Calibri"/>
          <w:sz w:val="24"/>
          <w:szCs w:val="24"/>
        </w:rPr>
        <w:t xml:space="preserve"> </w:t>
      </w:r>
    </w:p>
    <w:p w14:paraId="1D9C0A72" w14:textId="77777777" w:rsidR="006B1470" w:rsidRPr="00DC4F88" w:rsidRDefault="006B1470">
      <w:pPr>
        <w:spacing w:before="200" w:after="200" w:line="240" w:lineRule="auto"/>
        <w:jc w:val="both"/>
        <w:rPr>
          <w:rFonts w:cs="Calibri"/>
          <w:sz w:val="24"/>
          <w:szCs w:val="24"/>
        </w:rPr>
      </w:pPr>
    </w:p>
    <w:p w14:paraId="0ACF158F" w14:textId="77777777" w:rsidR="00DC4F88" w:rsidRDefault="00DC4F88">
      <w:pPr>
        <w:spacing w:before="200" w:after="200" w:line="240" w:lineRule="auto"/>
        <w:jc w:val="both"/>
        <w:rPr>
          <w:rFonts w:cs="Calibri"/>
          <w:sz w:val="24"/>
          <w:szCs w:val="24"/>
        </w:rPr>
      </w:pPr>
    </w:p>
    <w:p w14:paraId="10C9A98D" w14:textId="77777777" w:rsidR="00DC4F88" w:rsidRDefault="00DC4F88">
      <w:pPr>
        <w:spacing w:before="200" w:after="200" w:line="240" w:lineRule="auto"/>
        <w:jc w:val="both"/>
        <w:rPr>
          <w:rFonts w:cs="Calibri"/>
          <w:sz w:val="24"/>
          <w:szCs w:val="24"/>
        </w:rPr>
      </w:pPr>
    </w:p>
    <w:p w14:paraId="223B22C1" w14:textId="77777777" w:rsidR="00DC4F88" w:rsidRDefault="00DC4F88">
      <w:pPr>
        <w:spacing w:before="200" w:after="200" w:line="240" w:lineRule="auto"/>
        <w:jc w:val="both"/>
        <w:rPr>
          <w:rFonts w:cs="Calibri"/>
          <w:sz w:val="24"/>
          <w:szCs w:val="24"/>
        </w:rPr>
      </w:pPr>
    </w:p>
    <w:p w14:paraId="0C67EA44" w14:textId="093427E9" w:rsidR="004767F5" w:rsidRDefault="006B1470" w:rsidP="00616B5B">
      <w:pPr>
        <w:spacing w:before="200" w:after="200" w:line="240" w:lineRule="auto"/>
        <w:ind w:firstLine="708"/>
        <w:jc w:val="both"/>
        <w:rPr>
          <w:rFonts w:cs="Calibri"/>
          <w:sz w:val="24"/>
          <w:szCs w:val="24"/>
        </w:rPr>
      </w:pPr>
      <w:r w:rsidRPr="00DC4F88">
        <w:rPr>
          <w:rFonts w:cs="Calibri"/>
          <w:sz w:val="24"/>
          <w:szCs w:val="24"/>
        </w:rPr>
        <w:t>Entretanto, conforme será demonstrado nos itens que seguem, os pedidos da parte autora mostram-se absolutamente equivocados, razão pela qual a presente ação deve ser julgada improcedente, o que, desde já, se requer</w:t>
      </w:r>
      <w:r w:rsidR="00616B5B">
        <w:rPr>
          <w:rFonts w:cs="Calibri"/>
          <w:sz w:val="24"/>
          <w:szCs w:val="24"/>
        </w:rPr>
        <w:t>.</w:t>
      </w:r>
    </w:p>
    <w:p w14:paraId="6086DC52" w14:textId="77777777" w:rsidR="00616B5B" w:rsidRDefault="00616B5B">
      <w:pPr>
        <w:spacing w:before="200" w:after="200" w:line="240" w:lineRule="auto"/>
        <w:jc w:val="both"/>
        <w:rPr>
          <w:rFonts w:cs="Calibri"/>
          <w:sz w:val="24"/>
          <w:szCs w:val="24"/>
        </w:rPr>
      </w:pPr>
    </w:p>
    <w:p w14:paraId="75FD216A" w14:textId="4D77F05F" w:rsidR="00616B5B" w:rsidRPr="00DC4F88" w:rsidRDefault="00616B5B" w:rsidP="00616B5B">
      <w:pPr>
        <w:spacing w:before="200" w:after="200" w:line="240" w:lineRule="auto"/>
        <w:jc w:val="center"/>
        <w:rPr>
          <w:rFonts w:cs="Calibri"/>
          <w:sz w:val="24"/>
          <w:szCs w:val="24"/>
        </w:rPr>
      </w:pPr>
      <w:r>
        <w:rPr>
          <w:rFonts w:cs="Calibri"/>
          <w:b/>
          <w:bCs/>
          <w:sz w:val="24"/>
          <w:szCs w:val="24"/>
          <w:u w:val="single"/>
        </w:rPr>
        <w:t>DA ELUCIDAÇÃO DOS FATOS</w:t>
      </w:r>
    </w:p>
    <w:p w14:paraId="69678F00" w14:textId="77777777" w:rsidR="00616B5B" w:rsidRDefault="00616B5B" w:rsidP="00616B5B">
      <w:pPr>
        <w:spacing w:before="200" w:after="200" w:line="240" w:lineRule="auto"/>
        <w:ind w:firstLine="708"/>
        <w:jc w:val="both"/>
        <w:rPr>
          <w:rFonts w:cs="Calibri"/>
          <w:sz w:val="24"/>
          <w:szCs w:val="24"/>
        </w:rPr>
      </w:pPr>
    </w:p>
    <w:p w14:paraId="2E907099" w14:textId="6C72EDE0" w:rsidR="00616B5B" w:rsidRPr="00DC4F88" w:rsidRDefault="00616B5B" w:rsidP="00616B5B">
      <w:pPr>
        <w:spacing w:before="200" w:after="200" w:line="240" w:lineRule="auto"/>
        <w:ind w:firstLine="708"/>
        <w:jc w:val="both"/>
        <w:rPr>
          <w:rFonts w:cs="Calibri"/>
          <w:sz w:val="24"/>
          <w:szCs w:val="24"/>
        </w:rPr>
      </w:pPr>
      <w:r w:rsidRPr="00616B5B">
        <w:rPr>
          <w:rFonts w:cs="Calibri"/>
          <w:sz w:val="24"/>
          <w:szCs w:val="24"/>
        </w:rPr>
        <w:t>Inicialmente esclarecemos que</w:t>
      </w:r>
      <w:r>
        <w:rPr>
          <w:rFonts w:cs="Calibri"/>
          <w:sz w:val="24"/>
          <w:szCs w:val="24"/>
        </w:rPr>
        <w:t xml:space="preserve"> há </w:t>
      </w:r>
      <w:r w:rsidRPr="00616B5B">
        <w:rPr>
          <w:rFonts w:cs="Calibri"/>
          <w:sz w:val="24"/>
          <w:szCs w:val="24"/>
        </w:rPr>
        <w:t xml:space="preserve">época da conclusão do imóvel, </w:t>
      </w:r>
      <w:r>
        <w:rPr>
          <w:rFonts w:cs="Calibri"/>
          <w:sz w:val="24"/>
          <w:szCs w:val="24"/>
        </w:rPr>
        <w:t>se de fato o mesmo não</w:t>
      </w:r>
      <w:r w:rsidRPr="00616B5B">
        <w:rPr>
          <w:rFonts w:cs="Calibri"/>
          <w:sz w:val="24"/>
          <w:szCs w:val="24"/>
        </w:rPr>
        <w:t xml:space="preserve"> apresenta</w:t>
      </w:r>
      <w:r>
        <w:rPr>
          <w:rFonts w:cs="Calibri"/>
          <w:sz w:val="24"/>
          <w:szCs w:val="24"/>
        </w:rPr>
        <w:t>sse</w:t>
      </w:r>
      <w:r w:rsidRPr="00616B5B">
        <w:rPr>
          <w:rFonts w:cs="Calibri"/>
          <w:sz w:val="24"/>
          <w:szCs w:val="24"/>
        </w:rPr>
        <w:t xml:space="preserve"> condições normais de habitabilidade, </w:t>
      </w:r>
      <w:r>
        <w:rPr>
          <w:rFonts w:cs="Calibri"/>
          <w:sz w:val="24"/>
          <w:szCs w:val="24"/>
        </w:rPr>
        <w:t>não lhe seria regularmente exarada</w:t>
      </w:r>
      <w:r w:rsidRPr="00616B5B">
        <w:rPr>
          <w:rFonts w:cs="Calibri"/>
          <w:sz w:val="24"/>
          <w:szCs w:val="24"/>
        </w:rPr>
        <w:t xml:space="preserve"> carta de “Habite-se” pelo Município, </w:t>
      </w:r>
      <w:r>
        <w:rPr>
          <w:rFonts w:cs="Calibri"/>
          <w:sz w:val="24"/>
          <w:szCs w:val="24"/>
        </w:rPr>
        <w:t>o que ocorreu</w:t>
      </w:r>
      <w:r w:rsidRPr="00616B5B">
        <w:rPr>
          <w:rFonts w:cs="Calibri"/>
          <w:sz w:val="24"/>
          <w:szCs w:val="24"/>
        </w:rPr>
        <w:t xml:space="preserve"> em </w:t>
      </w:r>
      <w:proofErr w:type="gramStart"/>
      <w:r w:rsidRPr="00616B5B">
        <w:rPr>
          <w:rFonts w:cs="Calibri"/>
          <w:sz w:val="24"/>
          <w:szCs w:val="24"/>
        </w:rPr>
        <w:t>Abril</w:t>
      </w:r>
      <w:proofErr w:type="gramEnd"/>
      <w:r w:rsidRPr="00616B5B">
        <w:rPr>
          <w:rFonts w:cs="Calibri"/>
          <w:sz w:val="24"/>
          <w:szCs w:val="24"/>
        </w:rPr>
        <w:t xml:space="preserve"> de 2016.</w:t>
      </w:r>
      <w:r>
        <w:rPr>
          <w:rFonts w:cs="Calibri"/>
          <w:sz w:val="24"/>
          <w:szCs w:val="24"/>
        </w:rPr>
        <w:t xml:space="preserve"> Reforçamos que cabe ao ente federado a </w:t>
      </w:r>
      <w:r>
        <w:t>aprovação de projetos, licenciamentos, “alvará de obra” e “habite-se”.</w:t>
      </w:r>
    </w:p>
    <w:p w14:paraId="178ABCF5" w14:textId="458FD971" w:rsidR="00616B5B" w:rsidRDefault="00616B5B">
      <w:pPr>
        <w:spacing w:before="200" w:after="200" w:line="240" w:lineRule="auto"/>
        <w:jc w:val="both"/>
      </w:pPr>
      <w:r>
        <w:rPr>
          <w:rFonts w:cs="Calibri"/>
          <w:sz w:val="24"/>
          <w:szCs w:val="24"/>
        </w:rPr>
        <w:tab/>
      </w:r>
      <w:r>
        <w:t>Considerando a característica do imóvel, esclarecemos que a responsabilidade técnica pela elaboração e aprovação dos projetos nos órgãos competentes, pela caracterização do terreno e eventual estabilidade de estruturas pré-existentes e pela execução das obras propostas é do construtor contratado pelos autores e respectivo responsável técnico, não sendo compartilhada por engenheiros e arquitetos da CAIXA, tácita ou explicitamente.</w:t>
      </w:r>
    </w:p>
    <w:p w14:paraId="5529BD66" w14:textId="396A624C" w:rsidR="00860310" w:rsidRDefault="00860310">
      <w:pPr>
        <w:spacing w:before="200" w:after="200" w:line="240" w:lineRule="auto"/>
        <w:jc w:val="both"/>
      </w:pPr>
      <w:r>
        <w:tab/>
        <w:t xml:space="preserve">É salutar destacar que </w:t>
      </w:r>
      <w:r>
        <w:t>o setor de engenharia da CAIXA não realiza a atividade técnica de “fiscalização de obra”.</w:t>
      </w:r>
    </w:p>
    <w:p w14:paraId="71683A08" w14:textId="087FA708" w:rsidR="00616B5B" w:rsidRDefault="00860310" w:rsidP="00616B5B">
      <w:pPr>
        <w:spacing w:before="200" w:after="200" w:line="240" w:lineRule="auto"/>
        <w:ind w:firstLine="708"/>
        <w:jc w:val="both"/>
      </w:pPr>
      <w:r>
        <w:t>Prosseguindo, d</w:t>
      </w:r>
      <w:r w:rsidR="00616B5B">
        <w:t>estacamos que o contrato foi entabulado entre particulares (Empreendimento de Mercado), isto é, entre terceiros que se elegem mutuamente para realizar um negócio livre e soberano, sem qualquer participação d</w:t>
      </w:r>
      <w:r w:rsidR="00616B5B">
        <w:t>a CAIXA, que figura como</w:t>
      </w:r>
      <w:r w:rsidR="00616B5B">
        <w:t xml:space="preserve"> agente financeiro. </w:t>
      </w:r>
    </w:p>
    <w:p w14:paraId="658C59A2" w14:textId="6311B064" w:rsidR="00616B5B" w:rsidRDefault="00616B5B" w:rsidP="00616B5B">
      <w:pPr>
        <w:spacing w:before="200" w:after="200" w:line="240" w:lineRule="auto"/>
        <w:ind w:firstLine="708"/>
        <w:jc w:val="both"/>
      </w:pPr>
      <w:r>
        <w:t>Assim, a parte autora escolheu livremente o imóvel e o construtor de sua preferência, dentre todos os disponíveis no mercado imobiliário, tendo a sua relação com a Caixa se limitado à concessão de empréstimo em que a CEF figura como credora fiduciária. A Caixa não teve qualquer ingerência no processo construtivo nem nas escolhas feitas pel</w:t>
      </w:r>
      <w:r>
        <w:t>a parte</w:t>
      </w:r>
      <w:r>
        <w:t xml:space="preserve"> autor</w:t>
      </w:r>
      <w:r>
        <w:t>a, de modo que não cabe agora vir transferir responsabilidades</w:t>
      </w:r>
      <w:r>
        <w:t>.</w:t>
      </w:r>
    </w:p>
    <w:p w14:paraId="51AB4D7C" w14:textId="77777777" w:rsidR="00616B5B" w:rsidRDefault="00616B5B" w:rsidP="00616B5B">
      <w:pPr>
        <w:spacing w:before="200" w:after="200" w:line="240" w:lineRule="auto"/>
        <w:ind w:firstLine="708"/>
        <w:jc w:val="both"/>
      </w:pPr>
      <w:r>
        <w:t xml:space="preserve">Dessa forma, a Caixa somente verificou o enquadramento dos requisitos para a obtenção do financiamento habitacional. Seu dever esteve </w:t>
      </w:r>
      <w:proofErr w:type="gramStart"/>
      <w:r>
        <w:t>adstrito</w:t>
      </w:r>
      <w:proofErr w:type="gramEnd"/>
      <w:r>
        <w:t xml:space="preserve"> à verificação das condições financeiras particulares de cada mutuário interessado, nos termos expostos pelo contrato; jamais participando da seleção dos construtores e/ou responsáveis técnicos do imóvel. </w:t>
      </w:r>
    </w:p>
    <w:p w14:paraId="2C098CD6" w14:textId="77777777" w:rsidR="00616B5B" w:rsidRDefault="00616B5B" w:rsidP="00616B5B">
      <w:pPr>
        <w:spacing w:before="200" w:after="200" w:line="240" w:lineRule="auto"/>
        <w:ind w:firstLine="708"/>
        <w:jc w:val="both"/>
      </w:pPr>
      <w:r>
        <w:t xml:space="preserve">Outro aspecto a salientar é que a Caixa jamais se comprometeu com fiscalização ou perícia da obra, nem contratual, nem fática e nem mesmo tacitamente. O agente financeiro não tem essa obrigação, não é contratado para isso, jamais se comprometeu com isso e nem foi remunerado para tanto. </w:t>
      </w:r>
    </w:p>
    <w:p w14:paraId="06F6DEF8" w14:textId="33C873A7" w:rsidR="00616B5B" w:rsidRDefault="00616B5B" w:rsidP="00616B5B">
      <w:pPr>
        <w:spacing w:before="200" w:after="200" w:line="240" w:lineRule="auto"/>
        <w:ind w:firstLine="708"/>
        <w:jc w:val="both"/>
      </w:pPr>
      <w:r>
        <w:t>A vistoria realizada para a concessão do financiamento, solicitada pelo autor e no imóvel escolhido pelo autor, tem como único escopo a verificação da compatibilidade entre o valor do imóvel que será dado em garantia e o valor do financiamento a ser concedido</w:t>
      </w:r>
    </w:p>
    <w:p w14:paraId="642FF4F3" w14:textId="77777777" w:rsidR="00616B5B" w:rsidRDefault="00616B5B" w:rsidP="00616B5B">
      <w:pPr>
        <w:spacing w:before="200" w:after="200" w:line="240" w:lineRule="auto"/>
        <w:ind w:firstLine="708"/>
        <w:jc w:val="both"/>
      </w:pPr>
      <w:r>
        <w:t xml:space="preserve">Os aspectos construtivos da edificação são de responsabilidade de quem os executa, no caso, os construtores. Esses “vícios construtivos”, se eventualmente comprovados em perícia técnica, possuem responsável por repará-los, que é precisamente o responsável técnico e legal pelo projeto e execução da obra. Ressaltamos que “agente financeiro” e “responsável técnico” são funções muito distintas e contratualmente definidas e não podem, de maneira alguma, ser confundidas. </w:t>
      </w:r>
    </w:p>
    <w:p w14:paraId="3CC5C0DC" w14:textId="1B1DE03B" w:rsidR="00616B5B" w:rsidRDefault="00616B5B" w:rsidP="00616B5B">
      <w:pPr>
        <w:spacing w:before="200" w:after="200" w:line="240" w:lineRule="auto"/>
        <w:ind w:firstLine="708"/>
        <w:jc w:val="both"/>
      </w:pPr>
      <w:r>
        <w:lastRenderedPageBreak/>
        <w:t>O responsável técnico é o interveniente que, como o próprio nome diz, é o responsável pela execução técnica da obra e, portanto, o responsável em reparar a habitação se os problemas alegados decorrerem inequivocamente de falhas em sua intervenção (vícios construtivos).</w:t>
      </w:r>
    </w:p>
    <w:p w14:paraId="54C7915D" w14:textId="77777777" w:rsidR="00616B5B" w:rsidRDefault="00616B5B" w:rsidP="00616B5B">
      <w:pPr>
        <w:spacing w:before="200" w:after="200" w:line="240" w:lineRule="auto"/>
        <w:ind w:firstLine="708"/>
        <w:jc w:val="both"/>
      </w:pPr>
    </w:p>
    <w:p w14:paraId="074ABD92" w14:textId="77777777" w:rsidR="00616B5B" w:rsidRPr="00DC4F88" w:rsidRDefault="00616B5B" w:rsidP="00616B5B">
      <w:pPr>
        <w:spacing w:before="200" w:after="200" w:line="240" w:lineRule="auto"/>
        <w:ind w:firstLine="708"/>
        <w:jc w:val="both"/>
        <w:rPr>
          <w:rFonts w:cs="Calibri"/>
          <w:sz w:val="24"/>
          <w:szCs w:val="24"/>
        </w:rPr>
      </w:pPr>
    </w:p>
    <w:p w14:paraId="79382AC1" w14:textId="2EE0195E" w:rsidR="006B7F84" w:rsidRPr="00DC4F88" w:rsidRDefault="006B7F84" w:rsidP="006B7F84">
      <w:pPr>
        <w:spacing w:line="360" w:lineRule="auto"/>
        <w:jc w:val="center"/>
        <w:rPr>
          <w:rFonts w:cs="Calibri"/>
          <w:b/>
          <w:bCs/>
          <w:sz w:val="24"/>
          <w:szCs w:val="24"/>
        </w:rPr>
      </w:pPr>
      <w:r w:rsidRPr="00DC4F88">
        <w:rPr>
          <w:rFonts w:cs="Calibri"/>
          <w:b/>
          <w:bCs/>
          <w:sz w:val="24"/>
          <w:szCs w:val="24"/>
        </w:rPr>
        <w:t xml:space="preserve">PRELIMINARMENTE </w:t>
      </w:r>
    </w:p>
    <w:p w14:paraId="70D1AE40" w14:textId="7B43F5C3" w:rsidR="006B7F84" w:rsidRPr="00DC4F88" w:rsidRDefault="006B7F84" w:rsidP="006B7F84">
      <w:pPr>
        <w:spacing w:line="360" w:lineRule="auto"/>
        <w:jc w:val="center"/>
        <w:rPr>
          <w:rFonts w:cs="Calibri"/>
          <w:b/>
          <w:bCs/>
          <w:sz w:val="24"/>
          <w:szCs w:val="24"/>
        </w:rPr>
      </w:pPr>
      <w:r w:rsidRPr="00DC4F88">
        <w:rPr>
          <w:rFonts w:cs="Calibri"/>
          <w:b/>
          <w:bCs/>
          <w:sz w:val="24"/>
          <w:szCs w:val="24"/>
        </w:rPr>
        <w:t xml:space="preserve">DA ILEGITIMIDADE PASSIVA </w:t>
      </w:r>
      <w:r w:rsidRPr="00DC4F88">
        <w:rPr>
          <w:rFonts w:cs="Calibri"/>
          <w:b/>
          <w:bCs/>
          <w:i/>
          <w:iCs/>
          <w:sz w:val="24"/>
          <w:szCs w:val="24"/>
        </w:rPr>
        <w:t>AD CAUSAM</w:t>
      </w:r>
      <w:r w:rsidRPr="00DC4F88">
        <w:rPr>
          <w:rFonts w:cs="Calibri"/>
          <w:b/>
          <w:bCs/>
          <w:sz w:val="24"/>
          <w:szCs w:val="24"/>
        </w:rPr>
        <w:t xml:space="preserve"> DA CAIXA PARA QUESTÕES ALHEIAS AO CONTRATO DE FINANCIAMENTO</w:t>
      </w:r>
    </w:p>
    <w:p w14:paraId="3716BC12" w14:textId="77777777" w:rsidR="006B7F84" w:rsidRPr="00DC4F88" w:rsidRDefault="006B7F84" w:rsidP="006B7F84">
      <w:pPr>
        <w:spacing w:line="360" w:lineRule="auto"/>
        <w:rPr>
          <w:rFonts w:cs="Calibri"/>
          <w:sz w:val="24"/>
          <w:szCs w:val="24"/>
        </w:rPr>
      </w:pPr>
    </w:p>
    <w:p w14:paraId="7E39CAE3" w14:textId="77777777" w:rsidR="006B7F84" w:rsidRPr="00DC4F88" w:rsidRDefault="006B7F84" w:rsidP="006B7F84">
      <w:pPr>
        <w:spacing w:line="360" w:lineRule="auto"/>
        <w:ind w:firstLine="2880"/>
        <w:jc w:val="both"/>
        <w:rPr>
          <w:rFonts w:cs="Calibri"/>
          <w:b/>
          <w:bCs/>
          <w:sz w:val="24"/>
          <w:szCs w:val="24"/>
        </w:rPr>
      </w:pPr>
      <w:r w:rsidRPr="00DC4F88">
        <w:rPr>
          <w:rFonts w:cs="Calibri"/>
          <w:b/>
          <w:sz w:val="24"/>
          <w:szCs w:val="24"/>
        </w:rPr>
        <w:t xml:space="preserve">A </w:t>
      </w:r>
      <w:r w:rsidRPr="00DC4F88">
        <w:rPr>
          <w:rFonts w:cs="Calibri"/>
          <w:b/>
          <w:bCs/>
          <w:sz w:val="24"/>
          <w:szCs w:val="24"/>
        </w:rPr>
        <w:t>CAIXA é parte ilegítima para os pedidos alheios ao contrato de mútuo e alienação fiduciária</w:t>
      </w:r>
      <w:r w:rsidRPr="00DC4F88">
        <w:rPr>
          <w:rFonts w:cs="Calibri"/>
          <w:sz w:val="24"/>
          <w:szCs w:val="24"/>
        </w:rPr>
        <w:t xml:space="preserve">, tais como a devolução de valores pagos à Construtora, despesas de corretagem e danos morais decorrente de atos relacionados à compra e venda, visto que </w:t>
      </w:r>
      <w:r w:rsidRPr="00DC4F88">
        <w:rPr>
          <w:rFonts w:cs="Calibri"/>
          <w:b/>
          <w:bCs/>
          <w:sz w:val="24"/>
          <w:szCs w:val="24"/>
          <w:highlight w:val="yellow"/>
        </w:rPr>
        <w:t>tão somente emprestou dinheiro para que o mutuário adquirisse o imóvel que escolheu. A CAIXA não construiu nem vendeu aquele imóvel.</w:t>
      </w:r>
      <w:r w:rsidRPr="00DC4F88">
        <w:rPr>
          <w:rFonts w:cs="Calibri"/>
          <w:sz w:val="24"/>
          <w:szCs w:val="24"/>
        </w:rPr>
        <w:t xml:space="preserve"> </w:t>
      </w:r>
    </w:p>
    <w:p w14:paraId="0A296A31" w14:textId="77777777" w:rsidR="006B7F84" w:rsidRPr="00DC4F88" w:rsidRDefault="006B7F84" w:rsidP="006B7F84">
      <w:pPr>
        <w:spacing w:line="360" w:lineRule="auto"/>
        <w:ind w:firstLine="2880"/>
        <w:jc w:val="both"/>
        <w:rPr>
          <w:rFonts w:cs="Calibri"/>
          <w:b/>
          <w:bCs/>
          <w:sz w:val="24"/>
          <w:szCs w:val="24"/>
        </w:rPr>
      </w:pPr>
    </w:p>
    <w:p w14:paraId="71DB99DD" w14:textId="77777777" w:rsidR="006B7F84" w:rsidRDefault="006B7F84" w:rsidP="006B7F84">
      <w:pPr>
        <w:spacing w:line="360" w:lineRule="auto"/>
        <w:ind w:right="51" w:firstLine="2880"/>
        <w:jc w:val="both"/>
        <w:rPr>
          <w:rFonts w:cs="Calibri"/>
          <w:i/>
          <w:iCs/>
          <w:sz w:val="24"/>
          <w:szCs w:val="24"/>
        </w:rPr>
      </w:pPr>
      <w:r w:rsidRPr="00DC4F88">
        <w:rPr>
          <w:rFonts w:cs="Calibri"/>
          <w:sz w:val="24"/>
          <w:szCs w:val="24"/>
        </w:rPr>
        <w:t>A Caixa é mutuante e credora fiduciária, conforme se verifica no “Contrato De Compra E Venda De Terreno E Mútuo Para Construção De Unidade Habitacional, Alienação Fiduciária E, Garantia E Outras Obrigações – Apoio à Produção de Habitações – recursos do FGTS”</w:t>
      </w:r>
      <w:r w:rsidRPr="00DC4F88">
        <w:rPr>
          <w:rFonts w:cs="Calibri"/>
          <w:i/>
          <w:iCs/>
          <w:sz w:val="24"/>
          <w:szCs w:val="24"/>
        </w:rPr>
        <w:t>.</w:t>
      </w:r>
    </w:p>
    <w:p w14:paraId="17D3AE9B" w14:textId="77777777" w:rsidR="00616B5B" w:rsidRDefault="00616B5B" w:rsidP="006B7F84">
      <w:pPr>
        <w:spacing w:line="360" w:lineRule="auto"/>
        <w:ind w:right="51" w:firstLine="2880"/>
        <w:jc w:val="both"/>
        <w:rPr>
          <w:rFonts w:cs="Calibri"/>
          <w:i/>
          <w:iCs/>
          <w:sz w:val="24"/>
          <w:szCs w:val="24"/>
        </w:rPr>
      </w:pPr>
    </w:p>
    <w:p w14:paraId="1AF0091E" w14:textId="11D3FE10" w:rsidR="00616B5B" w:rsidRPr="00DC4F88" w:rsidRDefault="00616B5B" w:rsidP="006B7F84">
      <w:pPr>
        <w:spacing w:line="360" w:lineRule="auto"/>
        <w:ind w:right="51" w:firstLine="2880"/>
        <w:jc w:val="both"/>
        <w:rPr>
          <w:rFonts w:cs="Calibri"/>
          <w:sz w:val="24"/>
          <w:szCs w:val="24"/>
        </w:rPr>
      </w:pPr>
      <w:r w:rsidRPr="00616B5B">
        <w:rPr>
          <w:rFonts w:cs="Calibri"/>
          <w:sz w:val="24"/>
          <w:szCs w:val="24"/>
        </w:rPr>
        <w:t>Assim, inexistem razões que justifiquem o direcionamento de demanda à Caixa Econômica Federal! Os imóveis financiados por ela se constituem em garantia fiduciária, sendo evidente que a CEF jamais se omitiria em relação à constatação/existência de “vícios construtivos” neles, pois também poderia ser prejudicada em relação à sua própria garantia. Note-se que nem faz sentido incluí-la como ré na presente ação! Some-se a isso o fato de que, no momento da realização do financiamento, o imóvel muito provavelmente não apresentava problemas aparentes (os “vícios construtivos”, se existentes, ainda estavam ocultos), pois, se assim fosse, nem a parte autora teria querido adquiri-lo nem a Caixa o teria aceitado em garantia!</w:t>
      </w:r>
    </w:p>
    <w:p w14:paraId="10AA98BE" w14:textId="77777777" w:rsidR="006B7F84" w:rsidRPr="00DC4F88" w:rsidRDefault="006B7F84" w:rsidP="006B7F84">
      <w:pPr>
        <w:spacing w:line="360" w:lineRule="auto"/>
        <w:ind w:right="51" w:firstLine="2880"/>
        <w:jc w:val="both"/>
        <w:rPr>
          <w:rFonts w:cs="Calibri"/>
          <w:b/>
          <w:bCs/>
          <w:sz w:val="24"/>
          <w:szCs w:val="24"/>
        </w:rPr>
      </w:pPr>
    </w:p>
    <w:p w14:paraId="7BB26266" w14:textId="77777777" w:rsidR="006B7F84" w:rsidRPr="00DC4F88" w:rsidRDefault="006B7F84" w:rsidP="006B7F84">
      <w:pPr>
        <w:spacing w:line="360" w:lineRule="auto"/>
        <w:ind w:firstLine="2880"/>
        <w:jc w:val="both"/>
        <w:rPr>
          <w:rFonts w:eastAsia="Arial Unicode MS" w:cs="Calibri"/>
          <w:sz w:val="24"/>
          <w:szCs w:val="24"/>
        </w:rPr>
      </w:pPr>
      <w:r w:rsidRPr="00DC4F88">
        <w:rPr>
          <w:rFonts w:eastAsia="Arial Unicode MS" w:cs="Calibri"/>
          <w:sz w:val="24"/>
          <w:szCs w:val="24"/>
        </w:rPr>
        <w:t xml:space="preserve">Daí se conclui, que a Caixa não é parte legítima para figurar no </w:t>
      </w:r>
      <w:proofErr w:type="spellStart"/>
      <w:r w:rsidRPr="00DC4F88">
        <w:rPr>
          <w:rFonts w:eastAsia="Arial Unicode MS" w:cs="Calibri"/>
          <w:sz w:val="24"/>
          <w:szCs w:val="24"/>
        </w:rPr>
        <w:t>pólo</w:t>
      </w:r>
      <w:proofErr w:type="spellEnd"/>
      <w:r w:rsidRPr="00DC4F88">
        <w:rPr>
          <w:rFonts w:eastAsia="Arial Unicode MS" w:cs="Calibri"/>
          <w:sz w:val="24"/>
          <w:szCs w:val="24"/>
        </w:rPr>
        <w:t xml:space="preserve"> passivo da presente demanda, em relação às questões alheias ao contrato de mútuo e alienação fiduciária, porque, como já dito, apenas concedeu empréstimo, para a aquisição do imóvel pela Autora, conforme entendimento PACÍFICO da jurisprudência:</w:t>
      </w:r>
    </w:p>
    <w:p w14:paraId="0575D7CC" w14:textId="77777777" w:rsidR="006B7F84" w:rsidRPr="00DC4F88" w:rsidRDefault="006B7F84" w:rsidP="006B7F84">
      <w:pPr>
        <w:spacing w:line="360" w:lineRule="auto"/>
        <w:rPr>
          <w:rFonts w:eastAsia="Arial Unicode MS" w:cs="Calibri"/>
          <w:sz w:val="24"/>
          <w:szCs w:val="24"/>
        </w:rPr>
      </w:pPr>
    </w:p>
    <w:p w14:paraId="14E46097"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 xml:space="preserve">SISTEMA FINANCEIRO DAHABITAÇÃO – PROCESSUAL CIVIL – AGRAVO DE INSTRUMENTO CONTRA DECISÃO QUE EXCLUIU A CAIXA ECONÔMICA FEDERAL DA LIDE E DECLINOU DA COMPETÊNCIA DA JUSTIÇA FEDERAL – </w:t>
      </w:r>
      <w:r w:rsidRPr="00DC4F88">
        <w:rPr>
          <w:rFonts w:cs="Calibri"/>
          <w:b/>
          <w:bCs/>
          <w:iCs/>
          <w:sz w:val="24"/>
          <w:szCs w:val="24"/>
          <w:u w:val="single"/>
        </w:rPr>
        <w:t xml:space="preserve">AÇÃO AJUIZADA COM O ESCOPO DE ANULAR CONTRATO DE COMPRA E VENDA COM MÚTUO SOB O ARGUMENTO DE QUE O IMÓVEL FOI </w:t>
      </w:r>
      <w:proofErr w:type="gramStart"/>
      <w:r w:rsidRPr="00DC4F88">
        <w:rPr>
          <w:rFonts w:cs="Calibri"/>
          <w:b/>
          <w:bCs/>
          <w:iCs/>
          <w:sz w:val="24"/>
          <w:szCs w:val="24"/>
          <w:u w:val="single"/>
        </w:rPr>
        <w:t>DESTRUÍDO  EM</w:t>
      </w:r>
      <w:proofErr w:type="gramEnd"/>
      <w:r w:rsidRPr="00DC4F88">
        <w:rPr>
          <w:rFonts w:cs="Calibri"/>
          <w:b/>
          <w:bCs/>
          <w:iCs/>
          <w:sz w:val="24"/>
          <w:szCs w:val="24"/>
          <w:u w:val="single"/>
        </w:rPr>
        <w:t xml:space="preserve"> RAZÃO DO AFUNDAMENTO DO SOLO – RELAÇÃO DE MÚTUO HABITACIONAL NA QUAL A CAIXA ECONÔMICA FEDERAL FIGURA COMO PRESTAMISTA, E NÃO COMO ALIENANTE</w:t>
      </w:r>
      <w:r w:rsidRPr="00DC4F88">
        <w:rPr>
          <w:rFonts w:cs="Calibri"/>
          <w:b/>
          <w:bCs/>
          <w:iCs/>
          <w:sz w:val="24"/>
          <w:szCs w:val="24"/>
        </w:rPr>
        <w:t xml:space="preserve"> –</w:t>
      </w:r>
      <w:r w:rsidRPr="00DC4F88">
        <w:rPr>
          <w:rFonts w:cs="Calibri"/>
          <w:iCs/>
          <w:sz w:val="24"/>
          <w:szCs w:val="24"/>
        </w:rPr>
        <w:t xml:space="preserve"> AGRAVO DE INSTRUMENTO IMPROVIDO.</w:t>
      </w:r>
    </w:p>
    <w:p w14:paraId="185A2C2B"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 xml:space="preserve">Reside a controvérsia noticiada no presente instrumento acerca da legitimidade do agente financeiro, no caso a Caixa Econômica Federal, para figurar no </w:t>
      </w:r>
      <w:proofErr w:type="spellStart"/>
      <w:r w:rsidRPr="00DC4F88">
        <w:rPr>
          <w:rFonts w:cs="Calibri"/>
          <w:iCs/>
          <w:sz w:val="24"/>
          <w:szCs w:val="24"/>
        </w:rPr>
        <w:t>pólo</w:t>
      </w:r>
      <w:proofErr w:type="spellEnd"/>
      <w:r w:rsidRPr="00DC4F88">
        <w:rPr>
          <w:rFonts w:cs="Calibri"/>
          <w:iCs/>
          <w:sz w:val="24"/>
          <w:szCs w:val="24"/>
        </w:rPr>
        <w:t xml:space="preserve"> passivo de ação ajuizada com o escopo de anular contrato de compra e venda com mútuo sob o argumento de que o imóvel foi destruído em razão do afundamento do solo.</w:t>
      </w:r>
    </w:p>
    <w:p w14:paraId="565D20A5" w14:textId="77777777" w:rsidR="006B7F84" w:rsidRPr="00DC4F88" w:rsidRDefault="006B7F84" w:rsidP="006B7F84">
      <w:pPr>
        <w:spacing w:line="360" w:lineRule="auto"/>
        <w:ind w:left="2835"/>
        <w:jc w:val="both"/>
        <w:rPr>
          <w:rFonts w:cs="Calibri"/>
          <w:iCs/>
          <w:sz w:val="24"/>
          <w:szCs w:val="24"/>
        </w:rPr>
      </w:pPr>
    </w:p>
    <w:p w14:paraId="4DBA4E88"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Duas são as relações jurídicas postas em discussão.</w:t>
      </w:r>
    </w:p>
    <w:p w14:paraId="7F638328"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 xml:space="preserve">A primeira diz respeito à venda e compra, pactuada com a </w:t>
      </w:r>
      <w:proofErr w:type="spellStart"/>
      <w:proofErr w:type="gramStart"/>
      <w:r w:rsidRPr="00DC4F88">
        <w:rPr>
          <w:rFonts w:cs="Calibri"/>
          <w:iCs/>
          <w:sz w:val="24"/>
          <w:szCs w:val="24"/>
        </w:rPr>
        <w:t>co-ré</w:t>
      </w:r>
      <w:proofErr w:type="spellEnd"/>
      <w:proofErr w:type="gramEnd"/>
      <w:r w:rsidRPr="00DC4F88">
        <w:rPr>
          <w:rFonts w:cs="Calibri"/>
          <w:iCs/>
          <w:sz w:val="24"/>
          <w:szCs w:val="24"/>
        </w:rPr>
        <w:t xml:space="preserve"> RPA CONSTRUTORA E INCORPORADA LTDA.</w:t>
      </w:r>
    </w:p>
    <w:p w14:paraId="27AB87E0"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O vício redibitório ‘é o defeito oculto da coisa que dá ensejo à rescisão contratual, por tornar o seu objeto impróprio ao uso a que se destina, ou por diminuir o seu valor de tal modo que, se o outro contratante soubesse do vício, não realizaria o negócio pelo mesmo preço’ (ARNOLDO WALD, Curso de Direito Civil Brasileiro – Obrigações e Contratos – 14ª edição, Ed. RT, p.265).</w:t>
      </w:r>
    </w:p>
    <w:p w14:paraId="7A88570A"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DC4F88">
        <w:rPr>
          <w:rFonts w:cs="Calibri"/>
          <w:b/>
          <w:bCs/>
          <w:iCs/>
          <w:sz w:val="24"/>
          <w:szCs w:val="24"/>
        </w:rPr>
        <w:t xml:space="preserve">Contudo, a lei impinge ao alienante responsabilidade pelos vícios redibitórios, </w:t>
      </w:r>
      <w:r w:rsidRPr="00DC4F88">
        <w:rPr>
          <w:rFonts w:cs="Calibri"/>
          <w:b/>
          <w:bCs/>
          <w:iCs/>
          <w:sz w:val="24"/>
          <w:szCs w:val="24"/>
          <w:u w:val="single"/>
        </w:rPr>
        <w:t>situação essa que não é a da empresa pública.</w:t>
      </w:r>
    </w:p>
    <w:p w14:paraId="5B802373"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rPr>
      </w:pPr>
      <w:r w:rsidRPr="00DC4F88">
        <w:rPr>
          <w:rFonts w:cs="Calibri"/>
          <w:b/>
          <w:bCs/>
          <w:iCs/>
          <w:sz w:val="24"/>
          <w:szCs w:val="24"/>
        </w:rPr>
        <w:t>Na relação jurídica informada, a CAIXA ECONÔMICA FEDERAL figura como prestamista do financiamento, não como alienante.</w:t>
      </w:r>
    </w:p>
    <w:p w14:paraId="5DDCE6B1"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DC4F88">
        <w:rPr>
          <w:rFonts w:cs="Calibri"/>
          <w:b/>
          <w:bCs/>
          <w:iCs/>
          <w:sz w:val="24"/>
          <w:szCs w:val="24"/>
          <w:u w:val="single"/>
        </w:rPr>
        <w:t>Assim, não há aventada solidariedade da CAIXA ECONÔMICA FEDERAL em relação ao alegado vício do imóvel na medida em que a empresa pública federal não ‘intermedia’ a venda de imóveis, pois não tem funções de corretagem; apenas prestou ao autor dinheiro para adquirir o imóvel.</w:t>
      </w:r>
    </w:p>
    <w:p w14:paraId="7E8AEE10"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rPr>
      </w:pPr>
      <w:r w:rsidRPr="00DC4F88">
        <w:rPr>
          <w:rFonts w:cs="Calibri"/>
          <w:b/>
          <w:bCs/>
          <w:iCs/>
          <w:sz w:val="24"/>
          <w:szCs w:val="24"/>
        </w:rPr>
        <w:lastRenderedPageBreak/>
        <w:t>Nenhuma foi a interferência da agravada CAIXA ECONÔMICA FEDERAL para consecução do contrato, além de emprestar o dinheiro ao agravante.</w:t>
      </w:r>
    </w:p>
    <w:p w14:paraId="32DBCCE1"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b/>
          <w:bCs/>
          <w:iCs/>
          <w:sz w:val="24"/>
          <w:szCs w:val="24"/>
          <w:u w:val="single"/>
        </w:rPr>
      </w:pPr>
      <w:r w:rsidRPr="00DC4F88">
        <w:rPr>
          <w:rFonts w:cs="Calibri"/>
          <w:b/>
          <w:bCs/>
          <w:iCs/>
          <w:sz w:val="24"/>
          <w:szCs w:val="24"/>
          <w:u w:val="single"/>
        </w:rPr>
        <w:t>Dessa forma, em razão da natureza da relação jurídica formada entre a CAIXA ECONÔMICA FEDERAL e a parte autora, não há responsabilidade da empresa pública no negócio noticiado nos autos capaz de atrair a competência da Justiça Federal para apreciar e julgar a lide.</w:t>
      </w:r>
    </w:p>
    <w:p w14:paraId="354FB153" w14:textId="77777777" w:rsidR="006B7F84" w:rsidRPr="00DC4F88" w:rsidRDefault="006B7F84" w:rsidP="006B7F84">
      <w:pPr>
        <w:numPr>
          <w:ilvl w:val="0"/>
          <w:numId w:val="3"/>
        </w:numPr>
        <w:tabs>
          <w:tab w:val="clear" w:pos="2520"/>
          <w:tab w:val="num" w:pos="2880"/>
        </w:tabs>
        <w:spacing w:after="0" w:line="360" w:lineRule="auto"/>
        <w:ind w:left="2835" w:firstLine="0"/>
        <w:jc w:val="both"/>
        <w:rPr>
          <w:rFonts w:cs="Calibri"/>
          <w:iCs/>
          <w:sz w:val="24"/>
          <w:szCs w:val="24"/>
        </w:rPr>
      </w:pPr>
      <w:r w:rsidRPr="00DC4F88">
        <w:rPr>
          <w:rFonts w:cs="Calibri"/>
          <w:iCs/>
          <w:sz w:val="24"/>
          <w:szCs w:val="24"/>
        </w:rPr>
        <w:t>Agravo de instrumento improvido.</w:t>
      </w:r>
    </w:p>
    <w:p w14:paraId="4D5291F8" w14:textId="77777777" w:rsidR="006B7F84" w:rsidRPr="00DC4F88" w:rsidRDefault="006B7F84" w:rsidP="006B7F84">
      <w:pPr>
        <w:spacing w:line="360" w:lineRule="auto"/>
        <w:ind w:left="2835"/>
        <w:jc w:val="both"/>
        <w:rPr>
          <w:rFonts w:cs="Calibri"/>
          <w:iCs/>
          <w:sz w:val="24"/>
          <w:szCs w:val="24"/>
        </w:rPr>
      </w:pPr>
    </w:p>
    <w:p w14:paraId="73B6C89B"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ACÓRDÃO</w:t>
      </w:r>
    </w:p>
    <w:p w14:paraId="463AE9A1"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Vistos, relatados e discutidos estes autos, em que são partes as acima indicadas, ACORDAM os integrantes da Primeira Turma do Tribunal Regional Federal da 3ª Região, à unanimidade, em negar provimento ao agravo de instrumento, nos termos do relatório e coto do Relator, constantes dos autos, e na conformidade da ata do julgamento, que ficam fazendo parte integrante do presente julgado.</w:t>
      </w:r>
    </w:p>
    <w:p w14:paraId="5D21A120"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São Paulo, 27 de março de 2007. (data do julgamento)</w:t>
      </w:r>
    </w:p>
    <w:p w14:paraId="6E2F2815"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 xml:space="preserve">JOHONSON </w:t>
      </w:r>
      <w:proofErr w:type="spellStart"/>
      <w:r w:rsidRPr="00DC4F88">
        <w:rPr>
          <w:rFonts w:cs="Calibri"/>
          <w:iCs/>
          <w:sz w:val="24"/>
          <w:szCs w:val="24"/>
        </w:rPr>
        <w:t>di</w:t>
      </w:r>
      <w:proofErr w:type="spellEnd"/>
      <w:r w:rsidRPr="00DC4F88">
        <w:rPr>
          <w:rFonts w:cs="Calibri"/>
          <w:iCs/>
          <w:sz w:val="24"/>
          <w:szCs w:val="24"/>
        </w:rPr>
        <w:t xml:space="preserve"> SALVO</w:t>
      </w:r>
    </w:p>
    <w:p w14:paraId="22219734" w14:textId="77777777" w:rsidR="006B7F84" w:rsidRPr="00DC4F88" w:rsidRDefault="006B7F84" w:rsidP="006B7F84">
      <w:pPr>
        <w:spacing w:line="360" w:lineRule="auto"/>
        <w:ind w:left="2835"/>
        <w:jc w:val="both"/>
        <w:rPr>
          <w:rFonts w:cs="Calibri"/>
          <w:iCs/>
          <w:sz w:val="24"/>
          <w:szCs w:val="24"/>
        </w:rPr>
      </w:pPr>
      <w:r w:rsidRPr="00DC4F88">
        <w:rPr>
          <w:rFonts w:cs="Calibri"/>
          <w:iCs/>
          <w:sz w:val="24"/>
          <w:szCs w:val="24"/>
        </w:rPr>
        <w:t>Desembargador Federal Relator”</w:t>
      </w:r>
    </w:p>
    <w:p w14:paraId="7DB27D2E" w14:textId="77777777" w:rsidR="006B7F84" w:rsidRDefault="006B7F84" w:rsidP="006B7F84">
      <w:pPr>
        <w:spacing w:line="360" w:lineRule="auto"/>
        <w:ind w:firstLine="2880"/>
        <w:jc w:val="both"/>
        <w:rPr>
          <w:rFonts w:eastAsia="Arial Unicode MS" w:cs="Calibri"/>
          <w:sz w:val="24"/>
          <w:szCs w:val="24"/>
        </w:rPr>
      </w:pPr>
    </w:p>
    <w:p w14:paraId="3A15373A" w14:textId="77777777" w:rsidR="00616B5B" w:rsidRDefault="00616B5B" w:rsidP="006B7F84">
      <w:pPr>
        <w:spacing w:line="360" w:lineRule="auto"/>
        <w:ind w:firstLine="2880"/>
        <w:jc w:val="both"/>
      </w:pPr>
      <w:r>
        <w:t xml:space="preserve">A Caixa Econômica Federal é ilegítima para compor a demanda, uma vez que não é responsável técnica pela edificação ou sua fiscalização. Logo, não se verifica nexo causal entre a atividade exercida pela CEF como “agente financeiro” e o dano causado ao autor por supostos “vícios construtivos” existentes no imóvel. </w:t>
      </w:r>
    </w:p>
    <w:p w14:paraId="73827924" w14:textId="77777777" w:rsidR="00616B5B" w:rsidRDefault="00616B5B" w:rsidP="006B7F84">
      <w:pPr>
        <w:spacing w:line="360" w:lineRule="auto"/>
        <w:ind w:firstLine="2880"/>
        <w:jc w:val="both"/>
      </w:pPr>
    </w:p>
    <w:p w14:paraId="731DC0DB" w14:textId="77777777" w:rsidR="00616B5B" w:rsidRDefault="00616B5B" w:rsidP="006B7F84">
      <w:pPr>
        <w:spacing w:line="360" w:lineRule="auto"/>
        <w:ind w:firstLine="2880"/>
        <w:jc w:val="both"/>
      </w:pPr>
    </w:p>
    <w:p w14:paraId="5E0B18F4" w14:textId="77777777" w:rsidR="00616B5B" w:rsidRDefault="00616B5B" w:rsidP="006B7F84">
      <w:pPr>
        <w:spacing w:line="360" w:lineRule="auto"/>
        <w:ind w:firstLine="2880"/>
        <w:jc w:val="both"/>
      </w:pPr>
    </w:p>
    <w:p w14:paraId="409301FC" w14:textId="77777777" w:rsidR="00616B5B" w:rsidRDefault="00616B5B" w:rsidP="006B7F84">
      <w:pPr>
        <w:spacing w:line="360" w:lineRule="auto"/>
        <w:ind w:firstLine="2880"/>
        <w:jc w:val="both"/>
      </w:pPr>
    </w:p>
    <w:p w14:paraId="02E8C51F" w14:textId="6AC91E0E" w:rsidR="00616B5B" w:rsidRPr="00860310" w:rsidRDefault="00616B5B" w:rsidP="006B7F84">
      <w:pPr>
        <w:spacing w:line="360" w:lineRule="auto"/>
        <w:ind w:firstLine="2880"/>
        <w:jc w:val="both"/>
        <w:rPr>
          <w:rFonts w:eastAsia="Arial Unicode MS" w:cs="Calibri"/>
          <w:b/>
          <w:bCs/>
          <w:sz w:val="24"/>
          <w:szCs w:val="24"/>
          <w:u w:val="single"/>
        </w:rPr>
      </w:pPr>
      <w:r>
        <w:lastRenderedPageBreak/>
        <w:t xml:space="preserve">Destacamos que o ressarcimento (material e/ou moral) por eventuais “vícios construtivos” porventura existentes </w:t>
      </w:r>
      <w:r w:rsidRPr="00860310">
        <w:rPr>
          <w:b/>
          <w:bCs/>
          <w:u w:val="single"/>
        </w:rPr>
        <w:t>deve ser buscado diretamente com os responsáveis legais pela construção do imóvel.</w:t>
      </w:r>
    </w:p>
    <w:p w14:paraId="43793F01" w14:textId="77777777" w:rsidR="006B7F84" w:rsidRPr="00DC4F88" w:rsidRDefault="006B7F84" w:rsidP="006B7F84">
      <w:pPr>
        <w:spacing w:line="360" w:lineRule="auto"/>
        <w:ind w:firstLine="2835"/>
        <w:jc w:val="both"/>
        <w:rPr>
          <w:rFonts w:cs="Calibri"/>
          <w:sz w:val="24"/>
          <w:szCs w:val="24"/>
        </w:rPr>
      </w:pPr>
      <w:r w:rsidRPr="00DC4F88">
        <w:rPr>
          <w:rFonts w:cs="Calibri"/>
          <w:sz w:val="24"/>
          <w:szCs w:val="24"/>
        </w:rPr>
        <w:t>Assim, carece de interesse processual em relação à Caixa, impondo-se a extinção do processo sem resolução do mérito, também por esta razão.</w:t>
      </w:r>
    </w:p>
    <w:p w14:paraId="734B76F4" w14:textId="77777777" w:rsidR="006B1470" w:rsidRDefault="006B1470">
      <w:pPr>
        <w:spacing w:before="200" w:after="200" w:line="240" w:lineRule="auto"/>
        <w:jc w:val="both"/>
        <w:rPr>
          <w:rFonts w:cs="Calibri"/>
          <w:sz w:val="24"/>
          <w:szCs w:val="24"/>
        </w:rPr>
      </w:pPr>
    </w:p>
    <w:p w14:paraId="0F498337" w14:textId="77777777" w:rsidR="00616B5B" w:rsidRDefault="00616B5B">
      <w:pPr>
        <w:spacing w:before="200" w:after="200" w:line="240" w:lineRule="auto"/>
        <w:jc w:val="both"/>
        <w:rPr>
          <w:rFonts w:cs="Calibri"/>
          <w:sz w:val="24"/>
          <w:szCs w:val="24"/>
        </w:rPr>
      </w:pPr>
    </w:p>
    <w:p w14:paraId="12E022CF" w14:textId="77777777" w:rsidR="00616B5B" w:rsidRDefault="00616B5B">
      <w:pPr>
        <w:spacing w:before="200" w:after="200" w:line="240" w:lineRule="auto"/>
        <w:jc w:val="both"/>
        <w:rPr>
          <w:rFonts w:cs="Calibri"/>
          <w:sz w:val="24"/>
          <w:szCs w:val="24"/>
        </w:rPr>
      </w:pPr>
    </w:p>
    <w:p w14:paraId="21647D66" w14:textId="77777777" w:rsidR="00616B5B" w:rsidRDefault="00616B5B">
      <w:pPr>
        <w:spacing w:before="200" w:after="200" w:line="240" w:lineRule="auto"/>
        <w:jc w:val="both"/>
        <w:rPr>
          <w:rFonts w:cs="Calibri"/>
          <w:sz w:val="24"/>
          <w:szCs w:val="24"/>
        </w:rPr>
      </w:pPr>
    </w:p>
    <w:p w14:paraId="4B32B26B" w14:textId="77777777" w:rsidR="00616B5B" w:rsidRPr="00DC4F88" w:rsidRDefault="00616B5B">
      <w:pPr>
        <w:spacing w:before="200" w:after="200" w:line="240" w:lineRule="auto"/>
        <w:jc w:val="both"/>
        <w:rPr>
          <w:rFonts w:cs="Calibri"/>
          <w:sz w:val="24"/>
          <w:szCs w:val="24"/>
        </w:rPr>
      </w:pPr>
    </w:p>
    <w:p w14:paraId="5942CABB" w14:textId="77777777" w:rsidR="007E122F" w:rsidRPr="00DC4F88" w:rsidRDefault="007E122F" w:rsidP="007E122F">
      <w:pPr>
        <w:pStyle w:val="Recuodecorpodetexto2"/>
        <w:jc w:val="center"/>
        <w:rPr>
          <w:rFonts w:ascii="Calibri" w:hAnsi="Calibri" w:cs="Calibri"/>
          <w:b/>
          <w:bCs/>
          <w:sz w:val="24"/>
          <w:szCs w:val="24"/>
        </w:rPr>
      </w:pPr>
      <w:r w:rsidRPr="00DC4F88">
        <w:rPr>
          <w:rFonts w:ascii="Calibri" w:hAnsi="Calibri" w:cs="Calibri"/>
          <w:b/>
          <w:bCs/>
          <w:sz w:val="24"/>
          <w:szCs w:val="24"/>
        </w:rPr>
        <w:t>DOS PRINCÍPIOS QUE REGEM AS CONTRATAÇÕES</w:t>
      </w:r>
    </w:p>
    <w:p w14:paraId="72685CF8" w14:textId="77777777" w:rsidR="007E122F" w:rsidRPr="00DC4F88" w:rsidRDefault="007E122F" w:rsidP="007E122F">
      <w:pPr>
        <w:pStyle w:val="Recuodecorpodetexto2"/>
        <w:spacing w:after="0" w:line="360" w:lineRule="auto"/>
        <w:ind w:right="44"/>
        <w:rPr>
          <w:rFonts w:ascii="Calibri" w:hAnsi="Calibri" w:cs="Calibri"/>
          <w:bCs/>
          <w:sz w:val="24"/>
          <w:szCs w:val="24"/>
        </w:rPr>
      </w:pPr>
    </w:p>
    <w:p w14:paraId="70D185B8" w14:textId="77777777" w:rsidR="007E122F" w:rsidRPr="00DC4F88" w:rsidRDefault="007E122F" w:rsidP="00DC4F88">
      <w:pPr>
        <w:spacing w:line="360" w:lineRule="auto"/>
        <w:ind w:right="44" w:firstLine="567"/>
        <w:jc w:val="both"/>
        <w:rPr>
          <w:rFonts w:cs="Calibri"/>
          <w:sz w:val="24"/>
          <w:szCs w:val="24"/>
        </w:rPr>
      </w:pPr>
      <w:r w:rsidRPr="00DC4F88">
        <w:rPr>
          <w:rFonts w:cs="Calibri"/>
          <w:sz w:val="24"/>
          <w:szCs w:val="24"/>
        </w:rPr>
        <w:t>A autora procurou a Caixa para que esta financiasse a compra de um imóvel, objeto de financiamento concedido pela Caixa, apresentando toda a documentação pertinente.</w:t>
      </w:r>
    </w:p>
    <w:p w14:paraId="7A00782E" w14:textId="77777777" w:rsidR="007E122F" w:rsidRPr="00DC4F88" w:rsidRDefault="007E122F" w:rsidP="00DC4F88">
      <w:pPr>
        <w:spacing w:line="360" w:lineRule="auto"/>
        <w:ind w:right="44" w:firstLine="567"/>
        <w:jc w:val="both"/>
        <w:rPr>
          <w:rFonts w:cs="Calibri"/>
          <w:sz w:val="24"/>
          <w:szCs w:val="24"/>
        </w:rPr>
      </w:pPr>
      <w:r w:rsidRPr="00DC4F88">
        <w:rPr>
          <w:rFonts w:cs="Calibri"/>
          <w:sz w:val="24"/>
          <w:szCs w:val="24"/>
        </w:rPr>
        <w:t xml:space="preserve">Com essa documentação, a Caixa promoveu atos para a concessão do financiamento, conforme requerido pela autora. </w:t>
      </w:r>
    </w:p>
    <w:p w14:paraId="0E5DA42C" w14:textId="77777777" w:rsidR="007E122F" w:rsidRPr="00DC4F88" w:rsidRDefault="007E122F" w:rsidP="00DC4F88">
      <w:pPr>
        <w:spacing w:line="360" w:lineRule="auto"/>
        <w:ind w:right="44" w:firstLine="567"/>
        <w:jc w:val="both"/>
        <w:rPr>
          <w:rFonts w:cs="Calibri"/>
          <w:sz w:val="24"/>
          <w:szCs w:val="24"/>
        </w:rPr>
      </w:pPr>
      <w:r w:rsidRPr="00DC4F88">
        <w:rPr>
          <w:rFonts w:cs="Calibri"/>
          <w:sz w:val="24"/>
          <w:szCs w:val="24"/>
        </w:rPr>
        <w:t xml:space="preserve">No entanto, esta procura atribuir uma responsabilidade à Ré-Caixa, esquecendo-se que os fatos só ocorreram por culpa do vendedor, que deixou de cumprir a obrigação de entregar o imóvel na data prevista. </w:t>
      </w:r>
    </w:p>
    <w:p w14:paraId="396FE275" w14:textId="77777777" w:rsidR="007E122F" w:rsidRPr="00DC4F88" w:rsidRDefault="007E122F" w:rsidP="00DC4F88">
      <w:pPr>
        <w:pStyle w:val="Recuodecorpodetexto2"/>
        <w:spacing w:after="0" w:line="360" w:lineRule="auto"/>
        <w:ind w:right="44" w:firstLine="567"/>
        <w:rPr>
          <w:rFonts w:ascii="Calibri" w:hAnsi="Calibri" w:cs="Calibri"/>
          <w:sz w:val="24"/>
          <w:szCs w:val="24"/>
        </w:rPr>
      </w:pPr>
    </w:p>
    <w:p w14:paraId="144F7E5E" w14:textId="77777777" w:rsidR="007E122F" w:rsidRPr="00DC4F88" w:rsidRDefault="007E122F" w:rsidP="00DC4F88">
      <w:pPr>
        <w:spacing w:line="360" w:lineRule="auto"/>
        <w:ind w:right="44" w:firstLine="567"/>
        <w:jc w:val="both"/>
        <w:rPr>
          <w:rFonts w:cs="Calibri"/>
          <w:sz w:val="24"/>
          <w:szCs w:val="24"/>
        </w:rPr>
      </w:pPr>
      <w:r w:rsidRPr="00DC4F88">
        <w:rPr>
          <w:rFonts w:cs="Calibri"/>
          <w:bCs/>
          <w:sz w:val="24"/>
          <w:szCs w:val="24"/>
        </w:rPr>
        <w:t xml:space="preserve">A relação, portanto, estabelece-se entre alienante e alienatário e a Caixa </w:t>
      </w:r>
      <w:r w:rsidRPr="00DC4F88">
        <w:rPr>
          <w:rFonts w:cs="Calibri"/>
          <w:sz w:val="24"/>
          <w:szCs w:val="24"/>
        </w:rPr>
        <w:t>não é a alienante.</w:t>
      </w:r>
    </w:p>
    <w:p w14:paraId="48AFAA26" w14:textId="77777777" w:rsidR="007E122F" w:rsidRPr="00DC4F88" w:rsidRDefault="007E122F" w:rsidP="00DC4F88">
      <w:pPr>
        <w:spacing w:line="360" w:lineRule="auto"/>
        <w:ind w:firstLine="567"/>
        <w:jc w:val="both"/>
        <w:rPr>
          <w:rFonts w:cs="Calibri"/>
          <w:sz w:val="24"/>
          <w:szCs w:val="24"/>
        </w:rPr>
      </w:pPr>
    </w:p>
    <w:p w14:paraId="161F5105" w14:textId="5B073AB1" w:rsidR="007E122F" w:rsidRPr="00DC4F88" w:rsidRDefault="007E122F" w:rsidP="00DC4F88">
      <w:pPr>
        <w:pStyle w:val="Recuodecorpodetexto"/>
        <w:tabs>
          <w:tab w:val="left" w:pos="2835"/>
        </w:tabs>
        <w:spacing w:after="0" w:line="360" w:lineRule="auto"/>
        <w:ind w:left="0" w:firstLine="567"/>
        <w:jc w:val="both"/>
        <w:rPr>
          <w:rFonts w:ascii="Calibri" w:hAnsi="Calibri" w:cs="Calibri"/>
          <w:b/>
          <w:i/>
          <w:sz w:val="24"/>
          <w:szCs w:val="24"/>
        </w:rPr>
      </w:pPr>
      <w:r w:rsidRPr="00DC4F88">
        <w:rPr>
          <w:rFonts w:ascii="Calibri" w:hAnsi="Calibri" w:cs="Calibri"/>
          <w:b/>
          <w:i/>
          <w:sz w:val="24"/>
          <w:szCs w:val="24"/>
        </w:rPr>
        <w:t xml:space="preserve"> </w:t>
      </w:r>
      <w:r w:rsidRPr="00DC4F88">
        <w:rPr>
          <w:rFonts w:ascii="Calibri" w:hAnsi="Calibri" w:cs="Calibri"/>
          <w:b/>
          <w:sz w:val="24"/>
          <w:szCs w:val="24"/>
        </w:rPr>
        <w:t>Efetivamente, com relação ao pactuado junto à CAIXA, tem-se que o contrato tem como fundamento ético a vontade dos contratantes, que em conformidade com uma ordem legal, procuram atingir um objetivo específico, produzindo efeitos jurídicos</w:t>
      </w:r>
      <w:r w:rsidRPr="00DC4F88">
        <w:rPr>
          <w:rFonts w:ascii="Calibri" w:hAnsi="Calibri" w:cs="Calibri"/>
          <w:b/>
          <w:i/>
          <w:sz w:val="24"/>
          <w:szCs w:val="24"/>
        </w:rPr>
        <w:t>.</w:t>
      </w:r>
    </w:p>
    <w:p w14:paraId="4A73DECB" w14:textId="77777777" w:rsidR="007E122F" w:rsidRPr="00DC4F88" w:rsidRDefault="007E122F" w:rsidP="00DC4F88">
      <w:pPr>
        <w:pStyle w:val="Recuodecorpodetexto"/>
        <w:tabs>
          <w:tab w:val="left" w:pos="2835"/>
        </w:tabs>
        <w:spacing w:after="0" w:line="360" w:lineRule="auto"/>
        <w:ind w:firstLine="567"/>
        <w:rPr>
          <w:rFonts w:ascii="Calibri" w:hAnsi="Calibri" w:cs="Calibri"/>
          <w:b/>
          <w:i/>
          <w:sz w:val="24"/>
          <w:szCs w:val="24"/>
        </w:rPr>
      </w:pPr>
    </w:p>
    <w:p w14:paraId="5A36F181" w14:textId="2966779B"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 xml:space="preserve">O princípio da força obrigatória dos contratos consubstancia-se na regra que é lei entre as partes. Celebrado com observância de todos os pressupostos e requisitos necessários à sua validade, deve ser executado pelas partes como se suas cláusulas fossem preceitos legais imperativos. A presunção de que foram aceitas as condições contratuais livremente impede que a Autoridade judicial suavize ou liberte o contratante inadimplente de seu cumprimento. </w:t>
      </w:r>
    </w:p>
    <w:p w14:paraId="08DBC0F3"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7185F102" w14:textId="475BD77B"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O Autor assevera que subscreveu o instrumento contratual assumindo, junto à CREDORA</w:t>
      </w:r>
      <w:r w:rsidRPr="00DC4F88">
        <w:rPr>
          <w:rFonts w:cs="Calibri"/>
          <w:i/>
          <w:sz w:val="24"/>
          <w:szCs w:val="24"/>
        </w:rPr>
        <w:t xml:space="preserve">, </w:t>
      </w:r>
      <w:r w:rsidRPr="00DC4F88">
        <w:rPr>
          <w:rFonts w:cs="Calibri"/>
          <w:sz w:val="24"/>
          <w:szCs w:val="24"/>
        </w:rPr>
        <w:t xml:space="preserve">a responsabilidade pelo avençado. Desta forma, a não ser que alegue a existência de qualquer vício, previsto no Estatuto Processual Civil, e passíveis de macular o ato jurídico perfeito e acabado, não há direito que o ampare, conforme estabelecido na Constituição Federal – art. 5°, XXXVI. </w:t>
      </w:r>
    </w:p>
    <w:p w14:paraId="3A7BC58D" w14:textId="77777777"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ab/>
      </w:r>
    </w:p>
    <w:p w14:paraId="39567463" w14:textId="7A7721E2"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 xml:space="preserve"> Assim é que, tendo os contratantes capacidade para emitir </w:t>
      </w:r>
      <w:proofErr w:type="gramStart"/>
      <w:r w:rsidRPr="00DC4F88">
        <w:rPr>
          <w:rFonts w:cs="Calibri"/>
          <w:sz w:val="24"/>
          <w:szCs w:val="24"/>
        </w:rPr>
        <w:t>a</w:t>
      </w:r>
      <w:proofErr w:type="gramEnd"/>
      <w:r w:rsidRPr="00DC4F88">
        <w:rPr>
          <w:rFonts w:cs="Calibri"/>
          <w:sz w:val="24"/>
          <w:szCs w:val="24"/>
        </w:rPr>
        <w:t xml:space="preserve"> vontade, (consentimento), sendo lícito o objeto do contrato e obedecida a forma legal, assumem no momento da contratação toda a força jurídica social, assegurando sua execução segundo a vontade que presidiu à sua constituição.</w:t>
      </w:r>
    </w:p>
    <w:p w14:paraId="44BBBC5A"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71359FFC" w14:textId="77777777"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De outro lado, o contrato de adesão não nega a liberdade individual, não retira o caráter volitivo dos contratantes, pois nada mais é do que o oferecimento de uma estrutura legal daquela espécie de contrato, a qual poderá ou não o contratante consentir. Nesse aspecto, deve ficar claro que o contratante que firmou pacto nessas condições não se limitou a aderi-lo, mas efetivamente o aceitou.</w:t>
      </w:r>
    </w:p>
    <w:p w14:paraId="314777D7"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1DCD3F29" w14:textId="77777777"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 xml:space="preserve">A origem e características do contrato trazido à discussão não escapam às regras do Direito Civil. O contrato de financiamento habitacional retira suas cláusulas das próprias leis que regem essa categoria de contrato, à época da celebração. O agente financeiro nada mais faz do que transcrever tais regras transformando-as em cláusulas. </w:t>
      </w:r>
    </w:p>
    <w:p w14:paraId="65FCC961"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2DC68500" w14:textId="3EF5E5A1" w:rsidR="007E122F" w:rsidRPr="00DC4F88" w:rsidRDefault="007E122F" w:rsidP="00DC4F88">
      <w:pPr>
        <w:tabs>
          <w:tab w:val="left" w:pos="2835"/>
          <w:tab w:val="left" w:pos="3402"/>
        </w:tabs>
        <w:spacing w:line="360" w:lineRule="auto"/>
        <w:ind w:firstLine="567"/>
        <w:jc w:val="both"/>
        <w:rPr>
          <w:rFonts w:cs="Calibri"/>
          <w:sz w:val="24"/>
          <w:szCs w:val="24"/>
        </w:rPr>
      </w:pPr>
      <w:r w:rsidRPr="00DC4F88">
        <w:rPr>
          <w:rFonts w:cs="Calibri"/>
          <w:sz w:val="24"/>
          <w:szCs w:val="24"/>
        </w:rPr>
        <w:t>Sob esse ponto de vista a "adesão" é também do credor, que só poderá oferecer empréstimo em conformidade com o previsto em lei, mormente tratando-se de matéria essencialmente de cunho social, onde a liberdade do credor restringe-se aos atos pré-contratuais, isto é, em analisar as condições pessoais dos candidatos, (idade, tempo de emprego, renda, restrições cadastrais)</w:t>
      </w:r>
    </w:p>
    <w:p w14:paraId="33E92705" w14:textId="77777777" w:rsidR="007E122F" w:rsidRPr="00DC4F88" w:rsidRDefault="007E122F" w:rsidP="00DC4F88">
      <w:pPr>
        <w:tabs>
          <w:tab w:val="left" w:pos="2835"/>
          <w:tab w:val="left" w:pos="3402"/>
        </w:tabs>
        <w:spacing w:line="360" w:lineRule="auto"/>
        <w:ind w:firstLine="567"/>
        <w:jc w:val="both"/>
        <w:rPr>
          <w:rFonts w:cs="Calibri"/>
          <w:sz w:val="24"/>
          <w:szCs w:val="24"/>
        </w:rPr>
      </w:pPr>
    </w:p>
    <w:p w14:paraId="128AB260" w14:textId="242C5DDF" w:rsidR="007E122F" w:rsidRPr="00DC4F88" w:rsidRDefault="007E122F" w:rsidP="00DC4F88">
      <w:pPr>
        <w:spacing w:line="360" w:lineRule="auto"/>
        <w:ind w:firstLine="567"/>
        <w:jc w:val="both"/>
        <w:rPr>
          <w:rFonts w:cs="Calibri"/>
          <w:sz w:val="24"/>
          <w:szCs w:val="24"/>
        </w:rPr>
      </w:pPr>
      <w:r w:rsidRPr="00DC4F88">
        <w:rPr>
          <w:rFonts w:cs="Calibri"/>
          <w:sz w:val="24"/>
          <w:szCs w:val="24"/>
        </w:rPr>
        <w:t xml:space="preserve">Se o contrato é a garantia do que as partes esperam uma da outra na sua vigência, não pode ser modificado, a não ser pela própria vontade dessas partes (obviamente dentro das limitações impostas pelas leis) ou pela incidência de normas de ordem pública, que tem a função de adequar regras ultrapassadas as situações atuais, obrigando as partes a ela se submeter. </w:t>
      </w:r>
    </w:p>
    <w:p w14:paraId="1C7583D4" w14:textId="77777777" w:rsidR="007E122F" w:rsidRPr="00DC4F88" w:rsidRDefault="007E122F" w:rsidP="007E122F">
      <w:pPr>
        <w:spacing w:line="360" w:lineRule="auto"/>
        <w:jc w:val="center"/>
        <w:rPr>
          <w:rFonts w:cs="Calibri"/>
          <w:b/>
          <w:bCs/>
          <w:sz w:val="24"/>
          <w:szCs w:val="24"/>
        </w:rPr>
      </w:pPr>
    </w:p>
    <w:p w14:paraId="615C82EA" w14:textId="525EDDF3" w:rsidR="007E122F" w:rsidRPr="00DC4F88" w:rsidRDefault="007E122F" w:rsidP="007E122F">
      <w:pPr>
        <w:spacing w:line="360" w:lineRule="auto"/>
        <w:jc w:val="center"/>
        <w:rPr>
          <w:rFonts w:cs="Calibri"/>
          <w:b/>
          <w:bCs/>
          <w:sz w:val="24"/>
          <w:szCs w:val="24"/>
        </w:rPr>
      </w:pPr>
      <w:r w:rsidRPr="00DC4F88">
        <w:rPr>
          <w:rFonts w:cs="Calibri"/>
          <w:b/>
          <w:bCs/>
          <w:sz w:val="24"/>
          <w:szCs w:val="24"/>
        </w:rPr>
        <w:lastRenderedPageBreak/>
        <w:t>OUTRAS CONSIDERAÇÕES ACERCA DA AUSÊNCIA DE RESPONSABILIDADE CIVIL DA CAIXA NO CASO EM PAUTA</w:t>
      </w:r>
    </w:p>
    <w:p w14:paraId="3517381B" w14:textId="77777777" w:rsidR="007E122F" w:rsidRPr="00DC4F88" w:rsidRDefault="007E122F" w:rsidP="007E122F">
      <w:pPr>
        <w:spacing w:line="360" w:lineRule="auto"/>
        <w:jc w:val="both"/>
        <w:rPr>
          <w:rFonts w:cs="Calibri"/>
          <w:sz w:val="24"/>
          <w:szCs w:val="24"/>
        </w:rPr>
      </w:pPr>
    </w:p>
    <w:p w14:paraId="56D02944"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Como se verifica da fundamentação apresentada na presente, seja qual for o ângulo de enfoque, não estão presentes os requisitos que ensejam o reconhecimento da responsabilidade civil em relação à CAIXA.</w:t>
      </w:r>
    </w:p>
    <w:p w14:paraId="0ACBFE28" w14:textId="77777777" w:rsidR="007E122F" w:rsidRPr="00DC4F88" w:rsidRDefault="007E122F" w:rsidP="007E122F">
      <w:pPr>
        <w:spacing w:line="360" w:lineRule="auto"/>
        <w:jc w:val="both"/>
        <w:rPr>
          <w:rFonts w:cs="Calibri"/>
          <w:sz w:val="24"/>
          <w:szCs w:val="24"/>
        </w:rPr>
      </w:pPr>
    </w:p>
    <w:p w14:paraId="4EE1FFF3" w14:textId="77777777" w:rsidR="007E122F" w:rsidRPr="00DC4F88" w:rsidRDefault="007E122F" w:rsidP="00DC4F88">
      <w:pPr>
        <w:spacing w:line="360" w:lineRule="auto"/>
        <w:ind w:firstLine="360"/>
        <w:jc w:val="both"/>
        <w:rPr>
          <w:rFonts w:cs="Calibri"/>
          <w:sz w:val="24"/>
          <w:szCs w:val="24"/>
        </w:rPr>
      </w:pPr>
      <w:r w:rsidRPr="00DC4F88">
        <w:rPr>
          <w:rFonts w:cs="Calibri"/>
          <w:sz w:val="24"/>
          <w:szCs w:val="24"/>
        </w:rPr>
        <w:t>Com efeito, a responsabilidade civil tem por escopo fundamental o restabelecimento do equilíbrio patrimonial rompido em decorrência de ato ilícito gerador de dano à esfera moral ou patrimonial de determinado sujeito de direito e para surgir a obrigação de indenizar, é necessária a ocorrência de quatro pressupostos, a saber:</w:t>
      </w:r>
    </w:p>
    <w:p w14:paraId="4F24E8B0" w14:textId="77777777" w:rsidR="007E122F" w:rsidRPr="00DC4F88" w:rsidRDefault="007E122F" w:rsidP="007E122F">
      <w:pPr>
        <w:spacing w:line="360" w:lineRule="auto"/>
        <w:jc w:val="both"/>
        <w:rPr>
          <w:rFonts w:cs="Calibri"/>
          <w:sz w:val="24"/>
          <w:szCs w:val="24"/>
        </w:rPr>
      </w:pPr>
    </w:p>
    <w:p w14:paraId="55FF98DA"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Dano a ser ressarcido;</w:t>
      </w:r>
    </w:p>
    <w:p w14:paraId="4997D922"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Ato ilícito;</w:t>
      </w:r>
    </w:p>
    <w:p w14:paraId="6171C371"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dolo ou culpa pelo agente; e</w:t>
      </w:r>
    </w:p>
    <w:p w14:paraId="6463BAF0" w14:textId="77777777" w:rsidR="007E122F" w:rsidRPr="00DC4F88" w:rsidRDefault="007E122F" w:rsidP="007E122F">
      <w:pPr>
        <w:numPr>
          <w:ilvl w:val="0"/>
          <w:numId w:val="4"/>
        </w:numPr>
        <w:spacing w:after="0" w:line="360" w:lineRule="auto"/>
        <w:jc w:val="both"/>
        <w:rPr>
          <w:rFonts w:cs="Calibri"/>
          <w:iCs/>
          <w:sz w:val="24"/>
          <w:szCs w:val="24"/>
        </w:rPr>
      </w:pPr>
      <w:r w:rsidRPr="00DC4F88">
        <w:rPr>
          <w:rFonts w:cs="Calibri"/>
          <w:iCs/>
          <w:sz w:val="24"/>
          <w:szCs w:val="24"/>
        </w:rPr>
        <w:t>Nexo de causalidade entre o dano verificado e o ato culposo ou doloso do agente.</w:t>
      </w:r>
    </w:p>
    <w:p w14:paraId="610770D0" w14:textId="77777777" w:rsidR="007E122F" w:rsidRPr="00DC4F88" w:rsidRDefault="007E122F" w:rsidP="007E122F">
      <w:pPr>
        <w:spacing w:line="360" w:lineRule="auto"/>
        <w:jc w:val="both"/>
        <w:rPr>
          <w:rFonts w:cs="Calibri"/>
          <w:sz w:val="24"/>
          <w:szCs w:val="24"/>
        </w:rPr>
      </w:pPr>
    </w:p>
    <w:p w14:paraId="757FBD6A" w14:textId="77777777" w:rsidR="007E122F" w:rsidRPr="00DC4F88" w:rsidRDefault="007E122F" w:rsidP="007E122F">
      <w:pPr>
        <w:spacing w:line="360" w:lineRule="auto"/>
        <w:ind w:firstLine="2880"/>
        <w:jc w:val="both"/>
        <w:rPr>
          <w:rFonts w:cs="Calibri"/>
          <w:sz w:val="24"/>
          <w:szCs w:val="24"/>
        </w:rPr>
      </w:pPr>
      <w:r w:rsidRPr="00DC4F88">
        <w:rPr>
          <w:rFonts w:cs="Calibri"/>
          <w:sz w:val="24"/>
          <w:szCs w:val="24"/>
        </w:rPr>
        <w:t xml:space="preserve">Assim, para o surgimento da obrigação de indenizar, em primeiro lugar faz-se mister a verificação de dano, seja ele moral ou material, em detrimento de certo sujeito de direito. </w:t>
      </w:r>
      <w:r w:rsidRPr="00DC4F88">
        <w:rPr>
          <w:rFonts w:cs="Calibri"/>
          <w:b/>
          <w:bCs/>
          <w:sz w:val="24"/>
          <w:szCs w:val="24"/>
        </w:rPr>
        <w:t>Inexistindo dano, não há que se falar em prejuízo a ser ressarcido</w:t>
      </w:r>
      <w:r w:rsidRPr="00DC4F88">
        <w:rPr>
          <w:rFonts w:cs="Calibri"/>
          <w:sz w:val="24"/>
          <w:szCs w:val="24"/>
        </w:rPr>
        <w:t>.</w:t>
      </w:r>
    </w:p>
    <w:p w14:paraId="6F337808" w14:textId="77777777" w:rsidR="00DC4F88" w:rsidRDefault="00DC4F88" w:rsidP="00DC4F88">
      <w:pPr>
        <w:spacing w:line="360" w:lineRule="auto"/>
        <w:ind w:firstLine="708"/>
        <w:jc w:val="both"/>
        <w:rPr>
          <w:rFonts w:cs="Calibri"/>
          <w:sz w:val="24"/>
          <w:szCs w:val="24"/>
        </w:rPr>
      </w:pPr>
    </w:p>
    <w:p w14:paraId="524E481F" w14:textId="725CDA66" w:rsidR="007E122F" w:rsidRPr="00DC4F88" w:rsidRDefault="007E122F" w:rsidP="00DC4F88">
      <w:pPr>
        <w:spacing w:line="360" w:lineRule="auto"/>
        <w:ind w:firstLine="708"/>
        <w:jc w:val="both"/>
        <w:rPr>
          <w:rFonts w:cs="Calibri"/>
          <w:sz w:val="24"/>
          <w:szCs w:val="24"/>
        </w:rPr>
      </w:pPr>
      <w:r w:rsidRPr="00DC4F88">
        <w:rPr>
          <w:rFonts w:cs="Calibri"/>
          <w:sz w:val="24"/>
          <w:szCs w:val="24"/>
        </w:rPr>
        <w:t>Em segundo lugar, torna-se necessária a constatação de prática de ato ilícito por parte de determinado agente. Ato ilícito que, na definição de PLANIOL, “</w:t>
      </w:r>
      <w:r w:rsidRPr="00DC4F88">
        <w:rPr>
          <w:rFonts w:cs="Calibri"/>
          <w:sz w:val="24"/>
          <w:szCs w:val="24"/>
          <w:u w:val="single"/>
        </w:rPr>
        <w:t>consiste na infração de uma obrigação preexistente, e que pode ser perpetrado pelo agente que, dolosa ou culposamente (negligência, imperícia, imprudência)</w:t>
      </w:r>
      <w:r w:rsidRPr="00DC4F88">
        <w:rPr>
          <w:rFonts w:cs="Calibri"/>
          <w:sz w:val="24"/>
          <w:szCs w:val="24"/>
        </w:rPr>
        <w:t xml:space="preserve">”. Em outras palavras, pode-se dizer que </w:t>
      </w:r>
      <w:proofErr w:type="spellStart"/>
      <w:r w:rsidRPr="00DC4F88">
        <w:rPr>
          <w:rFonts w:cs="Calibri"/>
          <w:sz w:val="24"/>
          <w:szCs w:val="24"/>
        </w:rPr>
        <w:t>da</w:t>
      </w:r>
      <w:proofErr w:type="spellEnd"/>
      <w:r w:rsidRPr="00DC4F88">
        <w:rPr>
          <w:rFonts w:cs="Calibri"/>
          <w:sz w:val="24"/>
          <w:szCs w:val="24"/>
        </w:rPr>
        <w:t xml:space="preserve"> ilicitude do ato decorre a materialização da culpa do agente.</w:t>
      </w:r>
    </w:p>
    <w:p w14:paraId="2031A42E"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Por fim, o terceiro pressuposto necessário para o surgimento da obrigação de indenizar consiste no nexo de causalidade, assim entendido como o liame que vincula diretamente o ato ilícito praticado pelo agente ao dano sofrido pela vítima.</w:t>
      </w:r>
    </w:p>
    <w:p w14:paraId="2B74472A" w14:textId="77777777" w:rsidR="007E122F" w:rsidRPr="00DC4F88" w:rsidRDefault="007E122F" w:rsidP="007E122F">
      <w:pPr>
        <w:spacing w:line="360" w:lineRule="auto"/>
        <w:ind w:firstLine="2880"/>
        <w:jc w:val="both"/>
        <w:rPr>
          <w:rFonts w:cs="Calibri"/>
          <w:sz w:val="24"/>
          <w:szCs w:val="24"/>
        </w:rPr>
      </w:pPr>
    </w:p>
    <w:p w14:paraId="26DAD08E" w14:textId="77777777" w:rsidR="007E122F" w:rsidRPr="00DC4F88" w:rsidRDefault="007E122F" w:rsidP="007E122F">
      <w:pPr>
        <w:spacing w:line="360" w:lineRule="auto"/>
        <w:ind w:firstLine="2880"/>
        <w:jc w:val="both"/>
        <w:rPr>
          <w:rFonts w:cs="Calibri"/>
          <w:b/>
          <w:bCs/>
          <w:sz w:val="24"/>
          <w:szCs w:val="24"/>
        </w:rPr>
      </w:pPr>
      <w:r w:rsidRPr="00DC4F88">
        <w:rPr>
          <w:rFonts w:cs="Calibri"/>
          <w:b/>
          <w:bCs/>
          <w:sz w:val="24"/>
          <w:szCs w:val="24"/>
          <w:highlight w:val="yellow"/>
        </w:rPr>
        <w:lastRenderedPageBreak/>
        <w:t xml:space="preserve">Desse modo, se restar demonstrado que </w:t>
      </w:r>
      <w:r w:rsidRPr="00DC4F88">
        <w:rPr>
          <w:rFonts w:cs="Calibri"/>
          <w:b/>
          <w:bCs/>
          <w:sz w:val="24"/>
          <w:szCs w:val="24"/>
          <w:highlight w:val="yellow"/>
          <w:u w:val="single"/>
        </w:rPr>
        <w:t>não</w:t>
      </w:r>
      <w:r w:rsidRPr="00DC4F88">
        <w:rPr>
          <w:rFonts w:cs="Calibri"/>
          <w:b/>
          <w:bCs/>
          <w:sz w:val="24"/>
          <w:szCs w:val="24"/>
          <w:highlight w:val="yellow"/>
        </w:rPr>
        <w:t xml:space="preserve"> há qualquer relação de causa e efeito entre o ato ilícito praticado pelo agente e o dano sofrido pela vítima, também não há que se falar em responsabilidade civil ou em dever de indenizar.</w:t>
      </w:r>
    </w:p>
    <w:p w14:paraId="337F9733" w14:textId="77777777" w:rsidR="007E122F" w:rsidRPr="00DC4F88" w:rsidRDefault="007E122F" w:rsidP="007E122F">
      <w:pPr>
        <w:spacing w:line="360" w:lineRule="auto"/>
        <w:ind w:firstLine="2880"/>
        <w:jc w:val="both"/>
        <w:rPr>
          <w:rFonts w:cs="Calibri"/>
          <w:sz w:val="24"/>
          <w:szCs w:val="24"/>
        </w:rPr>
      </w:pPr>
    </w:p>
    <w:p w14:paraId="40D86189"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 xml:space="preserve">Nesse diapasão, é clara a disposição normativa do art. 186 do Código Civil, cuja substância é de fundamental importância no ordenamento jurídico pátrio, </w:t>
      </w:r>
      <w:r w:rsidRPr="00DC4F88">
        <w:rPr>
          <w:rFonts w:cs="Calibri"/>
          <w:i/>
          <w:iCs/>
          <w:sz w:val="24"/>
          <w:szCs w:val="24"/>
        </w:rPr>
        <w:t xml:space="preserve">in </w:t>
      </w:r>
      <w:proofErr w:type="spellStart"/>
      <w:r w:rsidRPr="00DC4F88">
        <w:rPr>
          <w:rFonts w:cs="Calibri"/>
          <w:i/>
          <w:iCs/>
          <w:sz w:val="24"/>
          <w:szCs w:val="24"/>
        </w:rPr>
        <w:t>verbis</w:t>
      </w:r>
      <w:proofErr w:type="spellEnd"/>
      <w:r w:rsidRPr="00DC4F88">
        <w:rPr>
          <w:rFonts w:cs="Calibri"/>
          <w:sz w:val="24"/>
          <w:szCs w:val="24"/>
        </w:rPr>
        <w:t>:</w:t>
      </w:r>
    </w:p>
    <w:p w14:paraId="48228EB9" w14:textId="77777777" w:rsidR="007E122F" w:rsidRPr="00DC4F88" w:rsidRDefault="007E122F" w:rsidP="007E122F">
      <w:pPr>
        <w:spacing w:line="360" w:lineRule="auto"/>
        <w:ind w:firstLine="2880"/>
        <w:jc w:val="both"/>
        <w:rPr>
          <w:rFonts w:cs="Calibri"/>
          <w:sz w:val="24"/>
          <w:szCs w:val="24"/>
        </w:rPr>
      </w:pPr>
    </w:p>
    <w:p w14:paraId="70CA33C2" w14:textId="77777777" w:rsidR="007E122F" w:rsidRPr="00DC4F88" w:rsidRDefault="007E122F" w:rsidP="007E122F">
      <w:pPr>
        <w:spacing w:line="360" w:lineRule="auto"/>
        <w:ind w:left="2835"/>
        <w:jc w:val="both"/>
        <w:rPr>
          <w:rFonts w:cs="Calibri"/>
          <w:bCs/>
          <w:iCs/>
          <w:sz w:val="24"/>
          <w:szCs w:val="24"/>
        </w:rPr>
      </w:pPr>
      <w:r w:rsidRPr="00DC4F88">
        <w:rPr>
          <w:rFonts w:cs="Calibri"/>
          <w:bCs/>
          <w:iCs/>
          <w:sz w:val="24"/>
          <w:szCs w:val="24"/>
        </w:rPr>
        <w:t>“Art. 186. Aquele que, por ação ou omissão voluntária, negligência ou imprudência, violar direito e causar dano a outrem, ainda que exclusivamente moral, comete ato ilícito.”</w:t>
      </w:r>
    </w:p>
    <w:p w14:paraId="1830908A" w14:textId="77777777" w:rsidR="007E122F" w:rsidRPr="00DC4F88" w:rsidRDefault="007E122F" w:rsidP="007E122F">
      <w:pPr>
        <w:spacing w:line="360" w:lineRule="auto"/>
        <w:ind w:left="1843"/>
        <w:jc w:val="both"/>
        <w:rPr>
          <w:rFonts w:cs="Calibri"/>
          <w:sz w:val="24"/>
          <w:szCs w:val="24"/>
        </w:rPr>
      </w:pPr>
    </w:p>
    <w:p w14:paraId="1A25C9BD" w14:textId="77777777" w:rsidR="007E122F" w:rsidRPr="00DC4F88" w:rsidRDefault="007E122F" w:rsidP="00DC4F88">
      <w:pPr>
        <w:spacing w:line="360" w:lineRule="auto"/>
        <w:ind w:firstLine="708"/>
        <w:jc w:val="both"/>
        <w:rPr>
          <w:rFonts w:cs="Calibri"/>
          <w:sz w:val="24"/>
          <w:szCs w:val="24"/>
        </w:rPr>
      </w:pPr>
      <w:r w:rsidRPr="00DC4F88">
        <w:rPr>
          <w:rFonts w:cs="Calibri"/>
          <w:sz w:val="24"/>
          <w:szCs w:val="24"/>
        </w:rPr>
        <w:t>Corroborando as colocações acima expostas, cumpre trazer à colação o lúcido magistério de WASHINGTON DE BARROS MONTEIRO:</w:t>
      </w:r>
    </w:p>
    <w:p w14:paraId="36B915B4" w14:textId="77777777" w:rsidR="007E122F" w:rsidRPr="00DC4F88" w:rsidRDefault="007E122F" w:rsidP="007E122F">
      <w:pPr>
        <w:spacing w:line="360" w:lineRule="auto"/>
        <w:jc w:val="both"/>
        <w:rPr>
          <w:rFonts w:cs="Calibri"/>
          <w:sz w:val="24"/>
          <w:szCs w:val="24"/>
        </w:rPr>
      </w:pPr>
    </w:p>
    <w:p w14:paraId="75825D26" w14:textId="77777777" w:rsidR="007E122F" w:rsidRPr="00DC4F88" w:rsidRDefault="007E122F" w:rsidP="007E122F">
      <w:pPr>
        <w:pStyle w:val="Textoembloco"/>
        <w:spacing w:line="360" w:lineRule="auto"/>
        <w:ind w:left="2835" w:right="0"/>
        <w:rPr>
          <w:rFonts w:ascii="Calibri" w:hAnsi="Calibri" w:cs="Calibri"/>
          <w:b w:val="0"/>
          <w:bCs w:val="0"/>
          <w:iCs/>
          <w:sz w:val="24"/>
          <w:szCs w:val="24"/>
        </w:rPr>
      </w:pPr>
      <w:r w:rsidRPr="00DC4F88">
        <w:rPr>
          <w:rFonts w:ascii="Calibri" w:hAnsi="Calibri" w:cs="Calibri"/>
          <w:b w:val="0"/>
          <w:bCs w:val="0"/>
          <w:iCs/>
          <w:sz w:val="24"/>
          <w:szCs w:val="24"/>
        </w:rPr>
        <w:t xml:space="preserve">“A responsabilidade civil tem como extremos legais: a) a existência de um dano contra o direito; b) a relação de causalidade entre esse dano e o fato imputável ao agente; c) a culpa deste, isto é, que </w:t>
      </w:r>
      <w:proofErr w:type="gramStart"/>
      <w:r w:rsidRPr="00DC4F88">
        <w:rPr>
          <w:rFonts w:ascii="Calibri" w:hAnsi="Calibri" w:cs="Calibri"/>
          <w:b w:val="0"/>
          <w:bCs w:val="0"/>
          <w:iCs/>
          <w:sz w:val="24"/>
          <w:szCs w:val="24"/>
        </w:rPr>
        <w:t>o mesmo</w:t>
      </w:r>
      <w:proofErr w:type="gramEnd"/>
      <w:r w:rsidRPr="00DC4F88">
        <w:rPr>
          <w:rFonts w:ascii="Calibri" w:hAnsi="Calibri" w:cs="Calibri"/>
          <w:b w:val="0"/>
          <w:bCs w:val="0"/>
          <w:iCs/>
          <w:sz w:val="24"/>
          <w:szCs w:val="24"/>
        </w:rPr>
        <w:t xml:space="preserve"> tenha obrado com dolo ou culpa (negligência, imprudência ou imperícia)</w:t>
      </w:r>
    </w:p>
    <w:p w14:paraId="253C74F1" w14:textId="77777777" w:rsidR="007E122F" w:rsidRPr="00DC4F88" w:rsidRDefault="007E122F" w:rsidP="007E122F">
      <w:pPr>
        <w:pStyle w:val="Textoembloco"/>
        <w:spacing w:line="360" w:lineRule="auto"/>
        <w:ind w:left="2835" w:right="0"/>
        <w:rPr>
          <w:rFonts w:ascii="Calibri" w:hAnsi="Calibri" w:cs="Calibri"/>
          <w:b w:val="0"/>
          <w:bCs w:val="0"/>
          <w:iCs/>
          <w:sz w:val="24"/>
          <w:szCs w:val="24"/>
        </w:rPr>
      </w:pPr>
      <w:r w:rsidRPr="00DC4F88">
        <w:rPr>
          <w:rFonts w:ascii="Calibri" w:hAnsi="Calibri" w:cs="Calibri"/>
          <w:b w:val="0"/>
          <w:bCs w:val="0"/>
          <w:iCs/>
          <w:sz w:val="24"/>
          <w:szCs w:val="24"/>
        </w:rPr>
        <w:t>(...)</w:t>
      </w:r>
    </w:p>
    <w:p w14:paraId="1B5EF807" w14:textId="77777777" w:rsidR="007E122F" w:rsidRPr="00DC4F88" w:rsidRDefault="007E122F" w:rsidP="007E122F">
      <w:pPr>
        <w:pStyle w:val="Textoembloco"/>
        <w:spacing w:line="360" w:lineRule="auto"/>
        <w:ind w:left="2835" w:right="0"/>
        <w:rPr>
          <w:rFonts w:ascii="Calibri" w:hAnsi="Calibri" w:cs="Calibri"/>
          <w:b w:val="0"/>
          <w:bCs w:val="0"/>
          <w:iCs/>
          <w:sz w:val="24"/>
          <w:szCs w:val="24"/>
        </w:rPr>
      </w:pPr>
      <w:r w:rsidRPr="00DC4F88">
        <w:rPr>
          <w:rFonts w:ascii="Calibri" w:hAnsi="Calibri" w:cs="Calibri"/>
          <w:b w:val="0"/>
          <w:bCs w:val="0"/>
          <w:iCs/>
          <w:sz w:val="24"/>
          <w:szCs w:val="24"/>
        </w:rPr>
        <w:t xml:space="preserve">Nosso Código Civil manteve-se fiel à teoria subjetiva. Em princípio, para que haja responsabilidade, é preciso que haja culpa; sem prova desta inexiste obrigação de reparar o dano. Nessa ordem de </w:t>
      </w:r>
      <w:proofErr w:type="spellStart"/>
      <w:r w:rsidRPr="00DC4F88">
        <w:rPr>
          <w:rFonts w:ascii="Calibri" w:hAnsi="Calibri" w:cs="Calibri"/>
          <w:b w:val="0"/>
          <w:bCs w:val="0"/>
          <w:iCs/>
          <w:sz w:val="24"/>
          <w:szCs w:val="24"/>
        </w:rPr>
        <w:t>idéias</w:t>
      </w:r>
      <w:proofErr w:type="spellEnd"/>
      <w:r w:rsidRPr="00DC4F88">
        <w:rPr>
          <w:rFonts w:ascii="Calibri" w:hAnsi="Calibri" w:cs="Calibri"/>
          <w:b w:val="0"/>
          <w:bCs w:val="0"/>
          <w:iCs/>
          <w:sz w:val="24"/>
          <w:szCs w:val="24"/>
        </w:rPr>
        <w:t>, preceitua o art. 159, num de seus dispositivos fundamentais, que ‘aquele que, por ação ou omissão voluntária, negligência ou imprudência, violar direito ou causar prejuízo a outrem fica obrigado a reparar o dano’. Em face, pois, da nossa lei, a reparação do dano tem como pressuposto a prática de um ato ilícito. Todo ato ilícito gera para seu autor a obrigação de ressarcir o prejuízo causado. É de preceito que ninguém deve causar lesão a outrem” (MONTEIRO, Washington de Barros, Curso de direito Civil, Vol. V, 28ª ed., Ed. Saraiva, São Paulo, 1995</w:t>
      </w:r>
    </w:p>
    <w:p w14:paraId="255DDA0B" w14:textId="77777777" w:rsidR="007E122F" w:rsidRPr="00DC4F88" w:rsidRDefault="007E122F" w:rsidP="007E122F">
      <w:pPr>
        <w:pStyle w:val="Corpodetexto"/>
        <w:spacing w:line="360" w:lineRule="auto"/>
        <w:rPr>
          <w:rFonts w:cs="Calibri"/>
          <w:sz w:val="24"/>
          <w:szCs w:val="24"/>
          <w:lang w:val="pt-PT"/>
        </w:rPr>
      </w:pPr>
    </w:p>
    <w:p w14:paraId="1C82A600" w14:textId="77777777" w:rsidR="007E122F" w:rsidRPr="00DC4F88" w:rsidRDefault="007E122F" w:rsidP="00DC4F88">
      <w:pPr>
        <w:pStyle w:val="Corpodetexto"/>
        <w:spacing w:line="360" w:lineRule="auto"/>
        <w:ind w:firstLine="708"/>
        <w:rPr>
          <w:rFonts w:cs="Calibri"/>
          <w:sz w:val="24"/>
          <w:szCs w:val="24"/>
          <w:lang w:val="pt-PT"/>
        </w:rPr>
      </w:pPr>
      <w:r w:rsidRPr="00DC4F88">
        <w:rPr>
          <w:rFonts w:cs="Calibri"/>
          <w:sz w:val="24"/>
          <w:szCs w:val="24"/>
          <w:lang w:val="pt-PT"/>
        </w:rPr>
        <w:lastRenderedPageBreak/>
        <w:t>Na hipótese em comento, a responsabilidade atribuída à CAIXA (indevidamente, frise-se) é subjetiva, tendo em vista que, embora se trate de empresa pública, a mesma não se encontra na prestação de serviços públicos, agindo simplesmente na condição de instituição financeira. Desta forma, para que seja reconhecida a responsabilidade da CAIXA, faz-se necessária a comprovação de ação ou omissão - dolosa ou culposa -, bem como, o dano e o nexo causal entre estes, conforme já relatado alhures.</w:t>
      </w:r>
    </w:p>
    <w:p w14:paraId="5B2704D9" w14:textId="77777777" w:rsidR="007E122F" w:rsidRPr="00DC4F88" w:rsidRDefault="007E122F" w:rsidP="007E122F">
      <w:pPr>
        <w:spacing w:line="360" w:lineRule="auto"/>
        <w:ind w:firstLine="2880"/>
        <w:jc w:val="both"/>
        <w:rPr>
          <w:rFonts w:cs="Calibri"/>
          <w:i/>
          <w:iCs/>
          <w:sz w:val="24"/>
          <w:szCs w:val="24"/>
        </w:rPr>
      </w:pPr>
    </w:p>
    <w:p w14:paraId="02F1D12D" w14:textId="77777777" w:rsidR="007E122F" w:rsidRPr="00DC4F88" w:rsidRDefault="007E122F" w:rsidP="00DC4F88">
      <w:pPr>
        <w:spacing w:line="360" w:lineRule="auto"/>
        <w:ind w:firstLine="708"/>
        <w:jc w:val="both"/>
        <w:rPr>
          <w:rFonts w:cs="Calibri"/>
          <w:b/>
          <w:bCs/>
          <w:sz w:val="24"/>
          <w:szCs w:val="24"/>
        </w:rPr>
      </w:pPr>
      <w:r w:rsidRPr="00DC4F88">
        <w:rPr>
          <w:rFonts w:cs="Calibri"/>
          <w:i/>
          <w:iCs/>
          <w:sz w:val="24"/>
          <w:szCs w:val="24"/>
          <w:highlight w:val="yellow"/>
        </w:rPr>
        <w:t xml:space="preserve">In </w:t>
      </w:r>
      <w:proofErr w:type="spellStart"/>
      <w:r w:rsidRPr="00DC4F88">
        <w:rPr>
          <w:rFonts w:cs="Calibri"/>
          <w:i/>
          <w:iCs/>
          <w:sz w:val="24"/>
          <w:szCs w:val="24"/>
          <w:highlight w:val="yellow"/>
        </w:rPr>
        <w:t>casu</w:t>
      </w:r>
      <w:proofErr w:type="spellEnd"/>
      <w:r w:rsidRPr="00DC4F88">
        <w:rPr>
          <w:rFonts w:cs="Calibri"/>
          <w:sz w:val="24"/>
          <w:szCs w:val="24"/>
          <w:highlight w:val="yellow"/>
        </w:rPr>
        <w:t xml:space="preserve">, </w:t>
      </w:r>
      <w:r w:rsidRPr="00DC4F88">
        <w:rPr>
          <w:rFonts w:cs="Calibri"/>
          <w:b/>
          <w:bCs/>
          <w:sz w:val="24"/>
          <w:szCs w:val="24"/>
          <w:highlight w:val="yellow"/>
          <w:u w:val="single"/>
        </w:rPr>
        <w:t>não se verifica qualquer ato ilícito da CAIXA que pudesse ensejar sua condenação no pagamento de danos morais e/ou materiais</w:t>
      </w:r>
      <w:r w:rsidRPr="00DC4F88">
        <w:rPr>
          <w:rFonts w:cs="Calibri"/>
          <w:sz w:val="24"/>
          <w:szCs w:val="24"/>
          <w:highlight w:val="yellow"/>
        </w:rPr>
        <w:t>, uma vez que agiu da forma correta, e não cometeu nenhum ato ilícito.</w:t>
      </w:r>
    </w:p>
    <w:p w14:paraId="11F264BF" w14:textId="77777777" w:rsidR="007E122F" w:rsidRPr="00DC4F88" w:rsidRDefault="007E122F" w:rsidP="007E122F">
      <w:pPr>
        <w:spacing w:line="360" w:lineRule="auto"/>
        <w:ind w:firstLine="3420"/>
        <w:jc w:val="both"/>
        <w:rPr>
          <w:rFonts w:cs="Calibri"/>
          <w:sz w:val="24"/>
          <w:szCs w:val="24"/>
        </w:rPr>
      </w:pPr>
    </w:p>
    <w:p w14:paraId="1B0FAC1D" w14:textId="77777777" w:rsidR="007E122F" w:rsidRPr="00DC4F88" w:rsidRDefault="007E122F" w:rsidP="00DC4F88">
      <w:pPr>
        <w:spacing w:line="360" w:lineRule="auto"/>
        <w:ind w:firstLine="360"/>
        <w:jc w:val="both"/>
        <w:rPr>
          <w:rFonts w:cs="Calibri"/>
          <w:sz w:val="24"/>
          <w:szCs w:val="24"/>
        </w:rPr>
      </w:pPr>
      <w:r w:rsidRPr="00DC4F88">
        <w:rPr>
          <w:rFonts w:cs="Calibri"/>
          <w:sz w:val="24"/>
          <w:szCs w:val="24"/>
        </w:rPr>
        <w:t>Feitas essas referências, assiste demonstrar que não há como prosperar o pedido indenizatório requerido pela PARTE AUTORA, porquanto, na espécie:</w:t>
      </w:r>
    </w:p>
    <w:p w14:paraId="434A8BE8" w14:textId="77777777" w:rsidR="007E122F" w:rsidRPr="00DC4F88" w:rsidRDefault="007E122F" w:rsidP="007E122F">
      <w:pPr>
        <w:spacing w:line="360" w:lineRule="auto"/>
        <w:ind w:firstLine="1134"/>
        <w:jc w:val="both"/>
        <w:rPr>
          <w:rFonts w:cs="Calibri"/>
          <w:sz w:val="24"/>
          <w:szCs w:val="24"/>
        </w:rPr>
      </w:pPr>
    </w:p>
    <w:p w14:paraId="1DE6260A" w14:textId="77777777" w:rsidR="007E122F" w:rsidRPr="00DC4F88" w:rsidRDefault="007E122F" w:rsidP="007E122F">
      <w:pPr>
        <w:numPr>
          <w:ilvl w:val="0"/>
          <w:numId w:val="5"/>
        </w:numPr>
        <w:spacing w:after="0" w:line="360" w:lineRule="auto"/>
        <w:jc w:val="both"/>
        <w:rPr>
          <w:rFonts w:cs="Calibri"/>
          <w:iCs/>
          <w:sz w:val="24"/>
          <w:szCs w:val="24"/>
        </w:rPr>
      </w:pPr>
      <w:r w:rsidRPr="00DC4F88">
        <w:rPr>
          <w:rFonts w:cs="Calibri"/>
          <w:iCs/>
          <w:sz w:val="24"/>
          <w:szCs w:val="24"/>
        </w:rPr>
        <w:t>A CAIXA não cometeu nenhum ato ilícito;</w:t>
      </w:r>
    </w:p>
    <w:p w14:paraId="214E108C" w14:textId="77777777" w:rsidR="007E122F" w:rsidRPr="00DC4F88" w:rsidRDefault="007E122F" w:rsidP="007E122F">
      <w:pPr>
        <w:numPr>
          <w:ilvl w:val="0"/>
          <w:numId w:val="5"/>
        </w:numPr>
        <w:spacing w:after="0" w:line="360" w:lineRule="auto"/>
        <w:jc w:val="both"/>
        <w:rPr>
          <w:rFonts w:cs="Calibri"/>
          <w:iCs/>
          <w:sz w:val="24"/>
          <w:szCs w:val="24"/>
        </w:rPr>
      </w:pPr>
      <w:r w:rsidRPr="00DC4F88">
        <w:rPr>
          <w:rFonts w:cs="Calibri"/>
          <w:iCs/>
          <w:sz w:val="24"/>
          <w:szCs w:val="24"/>
        </w:rPr>
        <w:t>A PARTE AUTORA não sofreu nenhum dano moral ou material levado a efeito pela empresa/ré; e</w:t>
      </w:r>
    </w:p>
    <w:p w14:paraId="4ADD8634" w14:textId="77777777" w:rsidR="007E122F" w:rsidRPr="00DC4F88" w:rsidRDefault="007E122F" w:rsidP="007E122F">
      <w:pPr>
        <w:numPr>
          <w:ilvl w:val="0"/>
          <w:numId w:val="5"/>
        </w:numPr>
        <w:spacing w:after="0" w:line="360" w:lineRule="auto"/>
        <w:jc w:val="both"/>
        <w:rPr>
          <w:rFonts w:cs="Calibri"/>
          <w:b/>
          <w:bCs/>
          <w:sz w:val="24"/>
          <w:szCs w:val="24"/>
        </w:rPr>
      </w:pPr>
      <w:r w:rsidRPr="00DC4F88">
        <w:rPr>
          <w:rFonts w:cs="Calibri"/>
          <w:iCs/>
          <w:sz w:val="24"/>
          <w:szCs w:val="24"/>
        </w:rPr>
        <w:t xml:space="preserve">Não há qualquer nexo de causalidade entre os supostos danos sofridos pelos </w:t>
      </w:r>
      <w:proofErr w:type="gramStart"/>
      <w:r w:rsidRPr="00DC4F88">
        <w:rPr>
          <w:rFonts w:cs="Calibri"/>
          <w:iCs/>
          <w:sz w:val="24"/>
          <w:szCs w:val="24"/>
        </w:rPr>
        <w:t>Autores  e</w:t>
      </w:r>
      <w:proofErr w:type="gramEnd"/>
      <w:r w:rsidRPr="00DC4F88">
        <w:rPr>
          <w:rFonts w:cs="Calibri"/>
          <w:iCs/>
          <w:sz w:val="24"/>
          <w:szCs w:val="24"/>
        </w:rPr>
        <w:t xml:space="preserve"> os atos corretamente praticados pela CAIXA.</w:t>
      </w:r>
    </w:p>
    <w:p w14:paraId="2F724D56" w14:textId="77777777" w:rsidR="007E122F" w:rsidRPr="00DC4F88" w:rsidRDefault="007E122F" w:rsidP="007E122F">
      <w:pPr>
        <w:spacing w:line="360" w:lineRule="auto"/>
        <w:ind w:firstLine="2835"/>
        <w:jc w:val="both"/>
        <w:rPr>
          <w:rFonts w:cs="Calibri"/>
          <w:sz w:val="24"/>
          <w:szCs w:val="24"/>
        </w:rPr>
      </w:pPr>
    </w:p>
    <w:p w14:paraId="4F0DAAEB" w14:textId="77777777" w:rsidR="007E122F" w:rsidRPr="00DC4F88" w:rsidRDefault="007E122F" w:rsidP="00DC4F88">
      <w:pPr>
        <w:spacing w:line="360" w:lineRule="auto"/>
        <w:ind w:firstLine="360"/>
        <w:jc w:val="both"/>
        <w:rPr>
          <w:rFonts w:cs="Calibri"/>
          <w:b/>
          <w:bCs/>
          <w:sz w:val="24"/>
          <w:szCs w:val="24"/>
          <w:u w:val="single"/>
        </w:rPr>
      </w:pPr>
      <w:r w:rsidRPr="00DC4F88">
        <w:rPr>
          <w:rFonts w:cs="Calibri"/>
          <w:sz w:val="24"/>
          <w:szCs w:val="24"/>
        </w:rPr>
        <w:t xml:space="preserve">A CAIXA não praticou qualquer ato doloso ou culposo que pudesse causar dano aos autores, corolário, inexiste nexo de causalidade entre conduta praticada pela CAIXA e suposto dano praticado pela autora, de modo que </w:t>
      </w:r>
      <w:r w:rsidRPr="00DC4F88">
        <w:rPr>
          <w:rFonts w:cs="Calibri"/>
          <w:b/>
          <w:bCs/>
          <w:sz w:val="24"/>
          <w:szCs w:val="24"/>
          <w:u w:val="single"/>
        </w:rPr>
        <w:t xml:space="preserve">não tem qualquer obrigação de </w:t>
      </w:r>
      <w:proofErr w:type="gramStart"/>
      <w:r w:rsidRPr="00DC4F88">
        <w:rPr>
          <w:rFonts w:cs="Calibri"/>
          <w:b/>
          <w:bCs/>
          <w:sz w:val="24"/>
          <w:szCs w:val="24"/>
          <w:u w:val="single"/>
        </w:rPr>
        <w:t>indeniza-la</w:t>
      </w:r>
      <w:proofErr w:type="gramEnd"/>
      <w:r w:rsidRPr="00DC4F88">
        <w:rPr>
          <w:rFonts w:cs="Calibri"/>
          <w:b/>
          <w:bCs/>
          <w:sz w:val="24"/>
          <w:szCs w:val="24"/>
          <w:u w:val="single"/>
        </w:rPr>
        <w:t xml:space="preserve"> por supostos danos materiais ou morais, a uma, porque estes não restaram demonstrados e muito menos comprovados na inicial; a outra, porque ainda que estes supostos danos tivessem ocorrido, a CAIXA não lhes teria dado causa.</w:t>
      </w:r>
    </w:p>
    <w:p w14:paraId="5A62C892" w14:textId="77777777" w:rsidR="007E122F" w:rsidRPr="00DC4F88" w:rsidRDefault="007E122F" w:rsidP="007E122F">
      <w:pPr>
        <w:spacing w:line="360" w:lineRule="auto"/>
        <w:jc w:val="both"/>
        <w:rPr>
          <w:rFonts w:cs="Calibri"/>
          <w:b/>
          <w:bCs/>
          <w:sz w:val="24"/>
          <w:szCs w:val="24"/>
          <w:u w:val="single"/>
        </w:rPr>
      </w:pPr>
    </w:p>
    <w:p w14:paraId="1AB562A8" w14:textId="77777777" w:rsidR="007E122F" w:rsidRPr="00DC4F88" w:rsidRDefault="007E122F" w:rsidP="007E122F">
      <w:pPr>
        <w:pStyle w:val="Recuodecorpodetexto3"/>
        <w:spacing w:line="360" w:lineRule="auto"/>
        <w:ind w:left="0" w:firstLine="2835"/>
        <w:rPr>
          <w:rFonts w:cs="Calibri"/>
          <w:sz w:val="24"/>
          <w:szCs w:val="24"/>
        </w:rPr>
      </w:pPr>
      <w:r w:rsidRPr="00DC4F88">
        <w:rPr>
          <w:rFonts w:cs="Calibri"/>
          <w:sz w:val="24"/>
          <w:szCs w:val="24"/>
        </w:rPr>
        <w:t>O Código de Processo Civil estabelece em seu art. 373 dispõe:</w:t>
      </w:r>
    </w:p>
    <w:p w14:paraId="3B9683CC" w14:textId="77777777" w:rsidR="007E122F" w:rsidRPr="00DC4F88" w:rsidRDefault="007E122F" w:rsidP="007E122F">
      <w:pPr>
        <w:pStyle w:val="Recuodecorpodetexto3"/>
        <w:spacing w:line="360" w:lineRule="auto"/>
        <w:ind w:left="2835"/>
        <w:rPr>
          <w:rFonts w:cs="Calibri"/>
          <w:sz w:val="24"/>
          <w:szCs w:val="24"/>
        </w:rPr>
      </w:pPr>
      <w:r w:rsidRPr="00DC4F88">
        <w:rPr>
          <w:rFonts w:cs="Calibri"/>
          <w:sz w:val="24"/>
          <w:szCs w:val="24"/>
        </w:rPr>
        <w:t>“Art. 373. O ônus da prova incumbe:</w:t>
      </w:r>
    </w:p>
    <w:p w14:paraId="184B0EDD" w14:textId="77777777" w:rsidR="007E122F" w:rsidRPr="00DC4F88" w:rsidRDefault="007E122F" w:rsidP="007E122F">
      <w:pPr>
        <w:pStyle w:val="Recuodecorpodetexto3"/>
        <w:spacing w:line="360" w:lineRule="auto"/>
        <w:ind w:left="2835"/>
        <w:rPr>
          <w:rFonts w:cs="Calibri"/>
          <w:sz w:val="24"/>
          <w:szCs w:val="24"/>
        </w:rPr>
      </w:pPr>
      <w:r w:rsidRPr="00DC4F88">
        <w:rPr>
          <w:rFonts w:cs="Calibri"/>
          <w:sz w:val="24"/>
          <w:szCs w:val="24"/>
        </w:rPr>
        <w:t xml:space="preserve">I – </w:t>
      </w:r>
      <w:proofErr w:type="gramStart"/>
      <w:r w:rsidRPr="00DC4F88">
        <w:rPr>
          <w:rFonts w:cs="Calibri"/>
          <w:sz w:val="24"/>
          <w:szCs w:val="24"/>
        </w:rPr>
        <w:t>ao</w:t>
      </w:r>
      <w:proofErr w:type="gramEnd"/>
      <w:r w:rsidRPr="00DC4F88">
        <w:rPr>
          <w:rFonts w:cs="Calibri"/>
          <w:sz w:val="24"/>
          <w:szCs w:val="24"/>
        </w:rPr>
        <w:t xml:space="preserve"> autor, quanto ao fato constitutivo do seu direito;”</w:t>
      </w:r>
    </w:p>
    <w:p w14:paraId="12860164" w14:textId="77777777" w:rsidR="007E122F" w:rsidRPr="00DC4F88" w:rsidRDefault="007E122F" w:rsidP="007E122F">
      <w:pPr>
        <w:pStyle w:val="Recuodecorpodetexto3"/>
        <w:spacing w:line="360" w:lineRule="auto"/>
        <w:ind w:left="2268"/>
        <w:rPr>
          <w:rFonts w:cs="Calibri"/>
          <w:sz w:val="24"/>
          <w:szCs w:val="24"/>
        </w:rPr>
      </w:pPr>
    </w:p>
    <w:p w14:paraId="39F00948" w14:textId="77777777" w:rsidR="007E122F" w:rsidRPr="00DC4F88" w:rsidRDefault="007E122F" w:rsidP="00DC4F88">
      <w:pPr>
        <w:pStyle w:val="Recuodecorpodetexto3"/>
        <w:spacing w:after="0" w:line="360" w:lineRule="auto"/>
        <w:ind w:left="0" w:firstLine="708"/>
        <w:rPr>
          <w:rFonts w:cs="Calibri"/>
          <w:sz w:val="24"/>
          <w:szCs w:val="24"/>
        </w:rPr>
      </w:pPr>
      <w:r w:rsidRPr="00DC4F88">
        <w:rPr>
          <w:rFonts w:cs="Calibri"/>
          <w:sz w:val="24"/>
          <w:szCs w:val="24"/>
        </w:rPr>
        <w:lastRenderedPageBreak/>
        <w:t xml:space="preserve">É lição sedimentada na doutrina que o ônus da prova incumbe a quem alega. Para tanto transcrevemos lúcida lição de Ernane Fidélis dos Santos, em sua obra “Manual de direito processual civil”, 3ª ed. Saraiva: São Paulo, 1994, vol. I, p. 380, em que </w:t>
      </w:r>
      <w:proofErr w:type="gramStart"/>
      <w:r w:rsidRPr="00DC4F88">
        <w:rPr>
          <w:rFonts w:cs="Calibri"/>
          <w:sz w:val="24"/>
          <w:szCs w:val="24"/>
        </w:rPr>
        <w:t>tem-se</w:t>
      </w:r>
      <w:proofErr w:type="gramEnd"/>
      <w:r w:rsidRPr="00DC4F88">
        <w:rPr>
          <w:rFonts w:cs="Calibri"/>
          <w:sz w:val="24"/>
          <w:szCs w:val="24"/>
        </w:rPr>
        <w:t>:</w:t>
      </w:r>
    </w:p>
    <w:p w14:paraId="48A0F296" w14:textId="77777777" w:rsidR="007E122F" w:rsidRPr="00DC4F88" w:rsidRDefault="007E122F" w:rsidP="007E122F">
      <w:pPr>
        <w:pStyle w:val="Recuodecorpodetexto3"/>
        <w:spacing w:after="0" w:line="360" w:lineRule="auto"/>
        <w:ind w:left="2268"/>
        <w:rPr>
          <w:rFonts w:cs="Calibri"/>
          <w:sz w:val="24"/>
          <w:szCs w:val="24"/>
        </w:rPr>
      </w:pPr>
    </w:p>
    <w:p w14:paraId="61873FC1" w14:textId="77777777" w:rsidR="007E122F" w:rsidRPr="00DC4F88" w:rsidRDefault="007E122F" w:rsidP="007E122F">
      <w:pPr>
        <w:pStyle w:val="Recuodecorpodetexto3"/>
        <w:spacing w:after="0" w:line="360" w:lineRule="auto"/>
        <w:ind w:left="2835"/>
        <w:rPr>
          <w:rFonts w:cs="Calibri"/>
          <w:sz w:val="24"/>
          <w:szCs w:val="24"/>
        </w:rPr>
      </w:pPr>
      <w:r w:rsidRPr="00DC4F88">
        <w:rPr>
          <w:rFonts w:cs="Calibri"/>
          <w:sz w:val="24"/>
          <w:szCs w:val="24"/>
        </w:rPr>
        <w:t>“A regra que impera mesmo em processo é a de que quem alega o fato deve prová-lo’. O fato será constitutivo, impeditivo, modificativo ou extintivo do direito, não importando a posição das partes no processo. Desde que haja afirmação da existência ou inexistência de fato, de onde se extrai situação, circunstância ou direito a favorecer a quem alega, dele é o ônus da prova.”</w:t>
      </w:r>
    </w:p>
    <w:p w14:paraId="1CA5B219" w14:textId="77777777" w:rsidR="007E122F" w:rsidRPr="00DC4F88" w:rsidRDefault="007E122F" w:rsidP="007E122F">
      <w:pPr>
        <w:pStyle w:val="Recuodecorpodetexto3"/>
        <w:spacing w:after="0" w:line="360" w:lineRule="auto"/>
        <w:ind w:left="1440"/>
        <w:rPr>
          <w:rFonts w:cs="Calibri"/>
          <w:sz w:val="24"/>
          <w:szCs w:val="24"/>
        </w:rPr>
      </w:pPr>
    </w:p>
    <w:p w14:paraId="1BAE1A8A" w14:textId="77777777" w:rsidR="007E122F" w:rsidRPr="00DC4F88" w:rsidRDefault="007E122F" w:rsidP="00DC4F88">
      <w:pPr>
        <w:spacing w:line="360" w:lineRule="auto"/>
        <w:ind w:right="23" w:firstLine="708"/>
        <w:jc w:val="both"/>
        <w:rPr>
          <w:rFonts w:cs="Calibri"/>
          <w:b/>
          <w:bCs/>
          <w:spacing w:val="15"/>
          <w:sz w:val="24"/>
          <w:szCs w:val="24"/>
          <w:lang w:val="pt-PT"/>
        </w:rPr>
      </w:pPr>
      <w:r w:rsidRPr="00DC4F88">
        <w:rPr>
          <w:rFonts w:cs="Calibri"/>
          <w:bCs/>
          <w:spacing w:val="-1"/>
          <w:sz w:val="24"/>
          <w:szCs w:val="24"/>
          <w:lang w:val="pt-PT"/>
        </w:rPr>
        <w:t xml:space="preserve">Consoante exposto nos itens anteriores, a CAIXA ECONÔMICA FEDERAL </w:t>
      </w:r>
      <w:r w:rsidRPr="00DC4F88">
        <w:rPr>
          <w:rFonts w:cs="Calibri"/>
          <w:bCs/>
          <w:spacing w:val="15"/>
          <w:sz w:val="24"/>
          <w:szCs w:val="24"/>
          <w:lang w:val="pt-PT"/>
        </w:rPr>
        <w:t>não possui qualquer responsabilidade na construção ou prazo de entrega do imóvel</w:t>
      </w:r>
      <w:r w:rsidRPr="00DC4F88">
        <w:rPr>
          <w:rFonts w:cs="Calibri"/>
          <w:b/>
          <w:bCs/>
          <w:spacing w:val="15"/>
          <w:sz w:val="24"/>
          <w:szCs w:val="24"/>
          <w:lang w:val="pt-PT"/>
        </w:rPr>
        <w:t xml:space="preserve">. </w:t>
      </w:r>
    </w:p>
    <w:p w14:paraId="013CCF1E" w14:textId="77777777" w:rsidR="007E122F" w:rsidRPr="00DC4F88" w:rsidRDefault="007E122F" w:rsidP="00DC4F88">
      <w:pPr>
        <w:spacing w:line="360" w:lineRule="auto"/>
        <w:ind w:right="23" w:firstLine="708"/>
        <w:jc w:val="both"/>
        <w:rPr>
          <w:rFonts w:cs="Calibri"/>
          <w:spacing w:val="-5"/>
          <w:sz w:val="24"/>
          <w:szCs w:val="24"/>
          <w:lang w:val="pt-PT"/>
        </w:rPr>
      </w:pPr>
      <w:r w:rsidRPr="00DC4F88">
        <w:rPr>
          <w:rFonts w:cs="Calibri"/>
          <w:spacing w:val="15"/>
          <w:sz w:val="24"/>
          <w:szCs w:val="24"/>
          <w:lang w:val="pt-PT"/>
        </w:rPr>
        <w:t xml:space="preserve">Consequentemente, não há o que se falar em </w:t>
      </w:r>
      <w:r w:rsidRPr="00DC4F88">
        <w:rPr>
          <w:rFonts w:cs="Calibri"/>
          <w:spacing w:val="-5"/>
          <w:sz w:val="24"/>
          <w:szCs w:val="24"/>
          <w:lang w:val="pt-PT"/>
        </w:rPr>
        <w:t>responsabilidade da CAIXA ao pagamento de danos materiais e/ou morais.</w:t>
      </w:r>
    </w:p>
    <w:p w14:paraId="14E2611B" w14:textId="2490CA36" w:rsidR="007E122F" w:rsidRPr="00DC4F88" w:rsidRDefault="007E122F" w:rsidP="00DC4F88">
      <w:pPr>
        <w:spacing w:line="360" w:lineRule="auto"/>
        <w:ind w:right="23" w:firstLine="708"/>
        <w:jc w:val="both"/>
        <w:rPr>
          <w:rFonts w:cs="Calibri"/>
          <w:spacing w:val="-4"/>
          <w:sz w:val="24"/>
          <w:szCs w:val="24"/>
          <w:lang w:val="pt-PT"/>
        </w:rPr>
      </w:pPr>
      <w:r w:rsidRPr="00DC4F88">
        <w:rPr>
          <w:rFonts w:cs="Calibri"/>
          <w:spacing w:val="-1"/>
          <w:sz w:val="24"/>
          <w:szCs w:val="24"/>
          <w:lang w:val="pt-PT"/>
        </w:rPr>
        <w:t xml:space="preserve">Não é a CAIXA na qualidade de Agente Financeiro que deverá </w:t>
      </w:r>
      <w:r w:rsidRPr="00DC4F88">
        <w:rPr>
          <w:rFonts w:cs="Calibri"/>
          <w:spacing w:val="-5"/>
          <w:sz w:val="24"/>
          <w:szCs w:val="24"/>
          <w:lang w:val="pt-PT"/>
        </w:rPr>
        <w:t xml:space="preserve">indenizar danos alegados pela parte autora pela demora na entrega das chaves, pois esta empresa </w:t>
      </w:r>
      <w:r w:rsidRPr="00DC4F88">
        <w:rPr>
          <w:rFonts w:cs="Calibri"/>
          <w:spacing w:val="-4"/>
          <w:sz w:val="24"/>
          <w:szCs w:val="24"/>
          <w:lang w:val="pt-PT"/>
        </w:rPr>
        <w:t>pública não é a responsável pela entrega das chaves do imóvel. Ou seja, não foi a CAIXA que deu causa aos alegados danos.</w:t>
      </w:r>
    </w:p>
    <w:p w14:paraId="4BB40CEB" w14:textId="77777777" w:rsidR="007E122F" w:rsidRPr="00DC4F88" w:rsidRDefault="007E122F" w:rsidP="00DC4F88">
      <w:pPr>
        <w:spacing w:line="360" w:lineRule="auto"/>
        <w:ind w:right="23" w:firstLine="708"/>
        <w:jc w:val="both"/>
        <w:rPr>
          <w:rFonts w:cs="Calibri"/>
          <w:b/>
          <w:bCs/>
          <w:sz w:val="24"/>
          <w:szCs w:val="24"/>
          <w:lang w:val="pt-PT"/>
        </w:rPr>
      </w:pPr>
      <w:r w:rsidRPr="00DC4F88">
        <w:rPr>
          <w:rFonts w:cs="Calibri"/>
          <w:b/>
          <w:bCs/>
          <w:spacing w:val="5"/>
          <w:sz w:val="24"/>
          <w:szCs w:val="24"/>
          <w:lang w:val="pt-PT"/>
        </w:rPr>
        <w:t xml:space="preserve">Como antes dito, a CAIXA ECONÔMICA FEDERAL foi incluída </w:t>
      </w:r>
      <w:r w:rsidRPr="00DC4F88">
        <w:rPr>
          <w:rFonts w:cs="Calibri"/>
          <w:b/>
          <w:bCs/>
          <w:spacing w:val="10"/>
          <w:sz w:val="24"/>
          <w:szCs w:val="24"/>
          <w:lang w:val="pt-PT"/>
        </w:rPr>
        <w:t xml:space="preserve">no pólo passivo por ser </w:t>
      </w:r>
      <w:r w:rsidRPr="00DC4F88">
        <w:rPr>
          <w:rFonts w:cs="Calibri"/>
          <w:b/>
          <w:bCs/>
          <w:spacing w:val="10"/>
          <w:sz w:val="24"/>
          <w:szCs w:val="24"/>
          <w:u w:val="single"/>
          <w:lang w:val="pt-PT"/>
        </w:rPr>
        <w:t>agente financeiro,</w:t>
      </w:r>
      <w:r w:rsidRPr="00DC4F88">
        <w:rPr>
          <w:rFonts w:cs="Calibri"/>
          <w:b/>
          <w:spacing w:val="10"/>
          <w:sz w:val="24"/>
          <w:szCs w:val="24"/>
          <w:lang w:val="pt-PT"/>
        </w:rPr>
        <w:t xml:space="preserve"> e, como</w:t>
      </w:r>
      <w:r w:rsidRPr="00DC4F88">
        <w:rPr>
          <w:rFonts w:cs="Calibri"/>
          <w:spacing w:val="10"/>
          <w:sz w:val="24"/>
          <w:szCs w:val="24"/>
          <w:lang w:val="pt-PT"/>
        </w:rPr>
        <w:t xml:space="preserve"> </w:t>
      </w:r>
      <w:r w:rsidRPr="00DC4F88">
        <w:rPr>
          <w:rFonts w:cs="Calibri"/>
          <w:b/>
          <w:bCs/>
          <w:spacing w:val="10"/>
          <w:sz w:val="24"/>
          <w:szCs w:val="24"/>
          <w:lang w:val="pt-PT"/>
        </w:rPr>
        <w:t xml:space="preserve">agente financeiro </w:t>
      </w:r>
      <w:r w:rsidRPr="00DC4F88">
        <w:rPr>
          <w:rFonts w:cs="Calibri"/>
          <w:b/>
          <w:bCs/>
          <w:spacing w:val="10"/>
          <w:sz w:val="24"/>
          <w:szCs w:val="24"/>
          <w:u w:val="single"/>
          <w:lang w:val="pt-PT"/>
        </w:rPr>
        <w:t xml:space="preserve">não pode ser </w:t>
      </w:r>
      <w:r w:rsidRPr="00DC4F88">
        <w:rPr>
          <w:rFonts w:cs="Calibri"/>
          <w:b/>
          <w:bCs/>
          <w:sz w:val="24"/>
          <w:szCs w:val="24"/>
          <w:u w:val="single"/>
          <w:lang w:val="pt-PT"/>
        </w:rPr>
        <w:t>responsabilizado</w:t>
      </w:r>
      <w:r w:rsidRPr="00DC4F88">
        <w:rPr>
          <w:rFonts w:cs="Calibri"/>
          <w:b/>
          <w:bCs/>
          <w:sz w:val="24"/>
          <w:szCs w:val="24"/>
          <w:lang w:val="pt-PT"/>
        </w:rPr>
        <w:t xml:space="preserve"> por perdas e danos (materiais e morais).</w:t>
      </w:r>
    </w:p>
    <w:p w14:paraId="55607CFB" w14:textId="77777777" w:rsidR="007E122F" w:rsidRPr="00DC4F88" w:rsidRDefault="007E122F" w:rsidP="00DC4F88">
      <w:pPr>
        <w:spacing w:line="360" w:lineRule="auto"/>
        <w:ind w:right="23" w:firstLine="708"/>
        <w:jc w:val="both"/>
        <w:rPr>
          <w:rFonts w:cs="Calibri"/>
          <w:b/>
          <w:bCs/>
          <w:spacing w:val="-2"/>
          <w:sz w:val="24"/>
          <w:szCs w:val="24"/>
          <w:u w:val="single"/>
          <w:lang w:val="pt-PT"/>
        </w:rPr>
      </w:pPr>
      <w:r w:rsidRPr="00DC4F88">
        <w:rPr>
          <w:rFonts w:cs="Calibri"/>
          <w:spacing w:val="-7"/>
          <w:sz w:val="24"/>
          <w:szCs w:val="24"/>
          <w:lang w:val="pt-PT"/>
        </w:rPr>
        <w:t xml:space="preserve">Caso danos materiais ou morais tenham realmente ocorrido </w:t>
      </w:r>
      <w:r w:rsidRPr="00DC4F88">
        <w:rPr>
          <w:rFonts w:cs="Calibri"/>
          <w:b/>
          <w:bCs/>
          <w:i/>
          <w:iCs/>
          <w:spacing w:val="-7"/>
          <w:sz w:val="24"/>
          <w:szCs w:val="24"/>
          <w:lang w:val="pt-PT"/>
        </w:rPr>
        <w:t xml:space="preserve">(o que </w:t>
      </w:r>
      <w:r w:rsidRPr="00DC4F88">
        <w:rPr>
          <w:rFonts w:cs="Calibri"/>
          <w:b/>
          <w:bCs/>
          <w:i/>
          <w:iCs/>
          <w:spacing w:val="-5"/>
          <w:sz w:val="24"/>
          <w:szCs w:val="24"/>
          <w:lang w:val="pt-PT"/>
        </w:rPr>
        <w:t xml:space="preserve">depende de prova, cujos ônus é da parte Autora), </w:t>
      </w:r>
      <w:r w:rsidRPr="00DC4F88">
        <w:rPr>
          <w:rFonts w:cs="Calibri"/>
          <w:spacing w:val="-5"/>
          <w:sz w:val="24"/>
          <w:szCs w:val="24"/>
          <w:lang w:val="pt-PT"/>
        </w:rPr>
        <w:t xml:space="preserve">o ressarcimento deverá ser postulado de quem deu causa, e, se a causa foi a demora na entrega do imóvel (entrega das chaves), a evidência, o </w:t>
      </w:r>
      <w:r w:rsidRPr="00DC4F88">
        <w:rPr>
          <w:rFonts w:cs="Calibri"/>
          <w:spacing w:val="-2"/>
          <w:sz w:val="24"/>
          <w:szCs w:val="24"/>
          <w:lang w:val="pt-PT"/>
        </w:rPr>
        <w:t xml:space="preserve">legitimado para tanto somente poderia ser a </w:t>
      </w:r>
      <w:r w:rsidRPr="00DC4F88">
        <w:rPr>
          <w:rFonts w:cs="Calibri"/>
          <w:b/>
          <w:bCs/>
          <w:spacing w:val="-2"/>
          <w:sz w:val="24"/>
          <w:szCs w:val="24"/>
          <w:highlight w:val="yellow"/>
          <w:u w:val="single"/>
          <w:lang w:val="pt-PT"/>
        </w:rPr>
        <w:t>CONSTRUTORA e/ou VENDEDORA do imóvel</w:t>
      </w:r>
      <w:r w:rsidRPr="00DC4F88">
        <w:rPr>
          <w:rFonts w:cs="Calibri"/>
          <w:b/>
          <w:bCs/>
          <w:spacing w:val="-2"/>
          <w:sz w:val="24"/>
          <w:szCs w:val="24"/>
          <w:u w:val="single"/>
          <w:lang w:val="pt-PT"/>
        </w:rPr>
        <w:t>.</w:t>
      </w:r>
    </w:p>
    <w:p w14:paraId="7BA56CD1" w14:textId="77777777" w:rsidR="007E122F" w:rsidRPr="00DC4F88" w:rsidRDefault="007E122F" w:rsidP="006B1470">
      <w:pPr>
        <w:spacing w:before="200" w:after="200" w:line="240" w:lineRule="auto"/>
        <w:jc w:val="both"/>
        <w:rPr>
          <w:rFonts w:cs="Calibri"/>
          <w:sz w:val="24"/>
          <w:szCs w:val="24"/>
        </w:rPr>
      </w:pPr>
    </w:p>
    <w:p w14:paraId="59CED9A5" w14:textId="77777777" w:rsidR="006B1470" w:rsidRPr="00DC4F88" w:rsidRDefault="006B1470" w:rsidP="006B1470">
      <w:pPr>
        <w:spacing w:before="200" w:after="200" w:line="240" w:lineRule="auto"/>
        <w:jc w:val="both"/>
        <w:rPr>
          <w:rFonts w:cs="Calibri"/>
          <w:sz w:val="24"/>
          <w:szCs w:val="24"/>
        </w:rPr>
      </w:pPr>
    </w:p>
    <w:p w14:paraId="56A32580" w14:textId="1E891C7A" w:rsidR="006B1470" w:rsidRPr="00DC4F88" w:rsidRDefault="006B1470" w:rsidP="007B689A">
      <w:pPr>
        <w:spacing w:before="200" w:after="200" w:line="240" w:lineRule="auto"/>
        <w:jc w:val="center"/>
        <w:rPr>
          <w:rFonts w:cs="Calibri"/>
          <w:b/>
          <w:bCs/>
          <w:sz w:val="24"/>
          <w:szCs w:val="24"/>
          <w:u w:val="single"/>
        </w:rPr>
      </w:pPr>
      <w:r w:rsidRPr="00DC4F88">
        <w:rPr>
          <w:rFonts w:cs="Calibri"/>
          <w:b/>
          <w:bCs/>
          <w:sz w:val="24"/>
          <w:szCs w:val="24"/>
          <w:u w:val="single"/>
        </w:rPr>
        <w:t>AUSÊNCIA DE PROVA MÍNIMA – ART. 373, I, CPC</w:t>
      </w:r>
    </w:p>
    <w:p w14:paraId="4A86AE14" w14:textId="77777777" w:rsidR="006B1470" w:rsidRPr="00DC4F88" w:rsidRDefault="006B1470" w:rsidP="006B1470">
      <w:pPr>
        <w:spacing w:before="200" w:after="200" w:line="240" w:lineRule="auto"/>
        <w:jc w:val="both"/>
        <w:rPr>
          <w:rFonts w:cs="Calibri"/>
          <w:sz w:val="24"/>
          <w:szCs w:val="24"/>
        </w:rPr>
      </w:pPr>
    </w:p>
    <w:p w14:paraId="0F2BE5C0" w14:textId="77777777" w:rsidR="006B1470" w:rsidRPr="00DC4F88" w:rsidRDefault="006B1470" w:rsidP="00DC4F88">
      <w:pPr>
        <w:spacing w:before="200" w:after="200" w:line="240" w:lineRule="auto"/>
        <w:ind w:firstLine="567"/>
        <w:jc w:val="both"/>
        <w:rPr>
          <w:rFonts w:cs="Calibri"/>
          <w:sz w:val="24"/>
          <w:szCs w:val="24"/>
        </w:rPr>
      </w:pPr>
      <w:r w:rsidRPr="00DC4F88">
        <w:rPr>
          <w:rFonts w:cs="Calibri"/>
          <w:sz w:val="24"/>
          <w:szCs w:val="24"/>
        </w:rPr>
        <w:t xml:space="preserve">Foram recepcionados diversos processos judiciais referentes aos empreendimentos PMCMV, com petições iniciais praticamente idênticas, com argumentação tecnicamente incipiente e sem aprofundamento ou comprovação das alegações de vício ou caracterização da situação de cada unidade habitacional, numa aparente tentativa de execução massiva de ações genéricas. </w:t>
      </w:r>
    </w:p>
    <w:p w14:paraId="4E0E9FF5" w14:textId="77777777" w:rsidR="006B1470" w:rsidRPr="00DC4F88" w:rsidRDefault="006B1470" w:rsidP="00DC4F88">
      <w:pPr>
        <w:spacing w:before="200" w:after="200" w:line="240" w:lineRule="auto"/>
        <w:ind w:firstLine="567"/>
        <w:jc w:val="both"/>
        <w:rPr>
          <w:rFonts w:cs="Calibri"/>
          <w:sz w:val="24"/>
          <w:szCs w:val="24"/>
        </w:rPr>
      </w:pPr>
    </w:p>
    <w:p w14:paraId="0D80763D" w14:textId="77777777" w:rsidR="006B1470" w:rsidRPr="00DC4F88" w:rsidRDefault="006B1470" w:rsidP="00DC4F88">
      <w:pPr>
        <w:spacing w:before="200" w:after="200" w:line="240" w:lineRule="auto"/>
        <w:ind w:firstLine="567"/>
        <w:jc w:val="both"/>
        <w:rPr>
          <w:rFonts w:cs="Calibri"/>
          <w:sz w:val="24"/>
          <w:szCs w:val="24"/>
        </w:rPr>
      </w:pPr>
      <w:r w:rsidRPr="00DC4F88">
        <w:rPr>
          <w:rFonts w:cs="Calibri"/>
          <w:sz w:val="24"/>
          <w:szCs w:val="24"/>
        </w:rPr>
        <w:t xml:space="preserve">Analisando os autos, verifica-se que a parte autora não fornece elementos mínimos necessários à propositura e prosseguimento da ação, ônus previsto no art. 373, inciso I, do CPC. </w:t>
      </w:r>
    </w:p>
    <w:p w14:paraId="2C54D03D" w14:textId="77777777" w:rsidR="006B1470" w:rsidRPr="00DC4F88" w:rsidRDefault="006B1470" w:rsidP="00DC4F88">
      <w:pPr>
        <w:spacing w:before="200" w:after="200" w:line="240" w:lineRule="auto"/>
        <w:ind w:firstLine="567"/>
        <w:jc w:val="both"/>
        <w:rPr>
          <w:rFonts w:cs="Calibri"/>
          <w:sz w:val="24"/>
          <w:szCs w:val="24"/>
        </w:rPr>
      </w:pPr>
    </w:p>
    <w:p w14:paraId="5A28072B" w14:textId="77777777" w:rsidR="007B689A" w:rsidRPr="00DC4F88" w:rsidRDefault="006B1470" w:rsidP="00DC4F88">
      <w:pPr>
        <w:spacing w:before="200" w:after="200" w:line="240" w:lineRule="auto"/>
        <w:ind w:firstLine="567"/>
        <w:jc w:val="both"/>
        <w:rPr>
          <w:rFonts w:cs="Calibri"/>
          <w:sz w:val="24"/>
          <w:szCs w:val="24"/>
        </w:rPr>
      </w:pPr>
      <w:r w:rsidRPr="00DC4F88">
        <w:rPr>
          <w:rFonts w:cs="Calibri"/>
          <w:sz w:val="24"/>
          <w:szCs w:val="24"/>
        </w:rPr>
        <w:t>Não é apresentado laudo técnico e não há qualquer orçamento ou detalhamento dos danos. Apenas foram anexados insuficientes registros fotográficos</w:t>
      </w:r>
      <w:r w:rsidR="007B689A" w:rsidRPr="00DC4F88">
        <w:rPr>
          <w:rFonts w:cs="Calibri"/>
          <w:sz w:val="24"/>
          <w:szCs w:val="24"/>
        </w:rPr>
        <w:t xml:space="preserve"> que não se confirmam ser do imóvel objeto da ação e não permitem a caracterização adequada dos defeitos alegados. </w:t>
      </w:r>
    </w:p>
    <w:p w14:paraId="54324D13" w14:textId="6DCEAEEB" w:rsidR="00966369" w:rsidRPr="00DC4F88" w:rsidRDefault="00966369" w:rsidP="00DC4F88">
      <w:pPr>
        <w:spacing w:before="200" w:after="200" w:line="240" w:lineRule="auto"/>
        <w:ind w:firstLine="567"/>
        <w:jc w:val="both"/>
        <w:rPr>
          <w:rFonts w:cs="Calibri"/>
          <w:sz w:val="24"/>
          <w:szCs w:val="24"/>
        </w:rPr>
      </w:pPr>
      <w:r w:rsidRPr="00DC4F88">
        <w:rPr>
          <w:rFonts w:cs="Calibri"/>
          <w:sz w:val="24"/>
          <w:szCs w:val="24"/>
        </w:rPr>
        <w:t>De modo contrário, a CAIXA, após acionamento através do programa “De Olho na Qualidade”, procedeu com a vistoria técnica, através de profissionais capacitados e imparciais, cujo resultado foi IMPROCEDENTE, denotando a inexistência de vícios na construção.</w:t>
      </w:r>
    </w:p>
    <w:p w14:paraId="43093819" w14:textId="5E7322DB" w:rsidR="00966369" w:rsidRPr="00DC4F88" w:rsidRDefault="00966369" w:rsidP="00DC4F88">
      <w:pPr>
        <w:spacing w:before="200" w:after="200" w:line="240" w:lineRule="auto"/>
        <w:ind w:firstLine="567"/>
        <w:jc w:val="both"/>
        <w:rPr>
          <w:rFonts w:cs="Calibri"/>
          <w:sz w:val="24"/>
          <w:szCs w:val="24"/>
        </w:rPr>
      </w:pPr>
      <w:r w:rsidRPr="00DC4F88">
        <w:rPr>
          <w:rFonts w:cs="Calibri"/>
          <w:sz w:val="24"/>
          <w:szCs w:val="24"/>
        </w:rPr>
        <w:t>Noutra perspectiva, percebemos que não houve NENHUMA outra ocorrência nas demais unidades do empreendimento objeto da inicial, indicando tratar-se de um problema cuja causa deu-se por falta de zelo da própria parte autora para com o imóvel.</w:t>
      </w:r>
    </w:p>
    <w:p w14:paraId="617BB4C4" w14:textId="77777777" w:rsidR="007B689A" w:rsidRPr="00DC4F88" w:rsidRDefault="007B689A" w:rsidP="00DC4F88">
      <w:pPr>
        <w:spacing w:before="200" w:after="200" w:line="240" w:lineRule="auto"/>
        <w:ind w:firstLine="567"/>
        <w:jc w:val="both"/>
        <w:rPr>
          <w:rFonts w:cs="Calibri"/>
          <w:sz w:val="24"/>
          <w:szCs w:val="24"/>
        </w:rPr>
      </w:pPr>
    </w:p>
    <w:p w14:paraId="29769307" w14:textId="56C82555"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Ademais, essa falta de laudo técnico com orçamento detalhado faz com que o pedido da parte autora não seja certo e determinado, não atendendo às exigências dos artigos 322 e 324 do CPC. </w:t>
      </w:r>
    </w:p>
    <w:p w14:paraId="43E59038" w14:textId="77777777" w:rsidR="007B689A" w:rsidRPr="00DC4F88" w:rsidRDefault="007B689A" w:rsidP="00DC4F88">
      <w:pPr>
        <w:spacing w:before="200" w:after="200" w:line="240" w:lineRule="auto"/>
        <w:ind w:firstLine="567"/>
        <w:jc w:val="both"/>
        <w:rPr>
          <w:rFonts w:cs="Calibri"/>
          <w:sz w:val="24"/>
          <w:szCs w:val="24"/>
        </w:rPr>
      </w:pPr>
    </w:p>
    <w:p w14:paraId="2B913A38" w14:textId="33539B38" w:rsidR="006B1470" w:rsidRPr="00DC4F88" w:rsidRDefault="007B689A" w:rsidP="00DC4F88">
      <w:pPr>
        <w:spacing w:before="200" w:after="200" w:line="240" w:lineRule="auto"/>
        <w:ind w:firstLine="567"/>
        <w:jc w:val="both"/>
        <w:rPr>
          <w:rFonts w:cs="Calibri"/>
          <w:sz w:val="24"/>
          <w:szCs w:val="24"/>
        </w:rPr>
      </w:pPr>
      <w:r w:rsidRPr="00DC4F88">
        <w:rPr>
          <w:rFonts w:cs="Calibri"/>
          <w:sz w:val="24"/>
          <w:szCs w:val="24"/>
        </w:rPr>
        <w:t>Assim, pela falta de fundamentação e sequer caracterização das condições da unidade habitacional objeto da ação, bem como diante da ausência de prova mínima dos fatos em que se sustentam as pretensões da parte autora, sendo que tal meio não lhe é impossível, requer-se a total improcedência da presente ação.</w:t>
      </w:r>
    </w:p>
    <w:p w14:paraId="77BD4197" w14:textId="77777777" w:rsidR="00291592" w:rsidRPr="00DC4F88" w:rsidRDefault="00291592" w:rsidP="00DC4F88">
      <w:pPr>
        <w:spacing w:before="200" w:after="200" w:line="240" w:lineRule="auto"/>
        <w:ind w:firstLine="567"/>
        <w:rPr>
          <w:rFonts w:cs="Calibri"/>
          <w:b/>
          <w:bCs/>
          <w:sz w:val="24"/>
          <w:szCs w:val="24"/>
          <w:u w:val="single"/>
        </w:rPr>
      </w:pPr>
    </w:p>
    <w:p w14:paraId="11750EE5" w14:textId="77777777" w:rsidR="007B689A" w:rsidRPr="00DC4F88" w:rsidRDefault="007B689A" w:rsidP="007B689A">
      <w:pPr>
        <w:spacing w:before="200" w:after="200" w:line="240" w:lineRule="auto"/>
        <w:rPr>
          <w:rFonts w:cs="Calibri"/>
          <w:b/>
          <w:bCs/>
          <w:sz w:val="24"/>
          <w:szCs w:val="24"/>
          <w:u w:val="single"/>
        </w:rPr>
      </w:pPr>
    </w:p>
    <w:p w14:paraId="5E883B09" w14:textId="738C259F" w:rsidR="007B689A" w:rsidRPr="00DC4F88" w:rsidRDefault="007B689A" w:rsidP="007B689A">
      <w:pPr>
        <w:spacing w:before="200" w:after="200" w:line="240" w:lineRule="auto"/>
        <w:jc w:val="center"/>
        <w:rPr>
          <w:rFonts w:cs="Calibri"/>
          <w:b/>
          <w:bCs/>
          <w:sz w:val="24"/>
          <w:szCs w:val="24"/>
          <w:u w:val="single"/>
        </w:rPr>
      </w:pPr>
      <w:r w:rsidRPr="00DC4F88">
        <w:rPr>
          <w:rFonts w:cs="Calibri"/>
          <w:b/>
          <w:bCs/>
          <w:sz w:val="24"/>
          <w:szCs w:val="24"/>
          <w:u w:val="single"/>
        </w:rPr>
        <w:t>CDC – INAPLICABILIDADE NO CASO CONCRETO</w:t>
      </w:r>
    </w:p>
    <w:p w14:paraId="5FB216EA" w14:textId="77777777" w:rsidR="007B689A" w:rsidRPr="00DC4F88" w:rsidRDefault="007B689A" w:rsidP="007B689A">
      <w:pPr>
        <w:spacing w:before="200" w:after="200" w:line="240" w:lineRule="auto"/>
        <w:rPr>
          <w:rFonts w:cs="Calibri"/>
          <w:sz w:val="24"/>
          <w:szCs w:val="24"/>
        </w:rPr>
      </w:pPr>
    </w:p>
    <w:p w14:paraId="3A108B8C"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O contrato objeto da presente lide envolve fundo institucional, mais especificamente o FAR – Fundo de Arrendamento Residencial, como se depreende de toda a narrativa. </w:t>
      </w:r>
    </w:p>
    <w:p w14:paraId="7DE1F311"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Em sendo assim, as prerrogativas dispostas no Código do Consumidor não lhe são aplicáveis. Não se pode esquecer que referido diploma legal, em seu artigo 2º, define consumidor como aquela pessoa que adquire produto ou serviço, sendo que os substituídos não se enquadram na figura de consumidor vulnerável que a lei visa a proteger. </w:t>
      </w:r>
    </w:p>
    <w:p w14:paraId="32FBDA8A"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Ademais, o contrato em comento </w:t>
      </w:r>
      <w:proofErr w:type="spellStart"/>
      <w:r w:rsidRPr="00DC4F88">
        <w:rPr>
          <w:rFonts w:cs="Calibri"/>
          <w:sz w:val="24"/>
          <w:szCs w:val="24"/>
        </w:rPr>
        <w:t>é</w:t>
      </w:r>
      <w:proofErr w:type="spellEnd"/>
      <w:r w:rsidRPr="00DC4F88">
        <w:rPr>
          <w:rFonts w:cs="Calibri"/>
          <w:sz w:val="24"/>
          <w:szCs w:val="24"/>
        </w:rPr>
        <w:t xml:space="preserve"> </w:t>
      </w:r>
      <w:proofErr w:type="gramStart"/>
      <w:r w:rsidRPr="00DC4F88">
        <w:rPr>
          <w:rFonts w:cs="Calibri"/>
          <w:sz w:val="24"/>
          <w:szCs w:val="24"/>
        </w:rPr>
        <w:t>regidos</w:t>
      </w:r>
      <w:proofErr w:type="gramEnd"/>
      <w:r w:rsidRPr="00DC4F88">
        <w:rPr>
          <w:rFonts w:cs="Calibri"/>
          <w:sz w:val="24"/>
          <w:szCs w:val="24"/>
        </w:rPr>
        <w:t xml:space="preserve"> por normas imperativas de ordem pública, em virtude da sua própria natureza eminentemente social, quer pelas finalidades do programa em que se inserem, quer pela proveniência dos seus recursos, advindos do FAR, a eles não se aplicando o Código de Defesa do Consumidor. </w:t>
      </w:r>
    </w:p>
    <w:p w14:paraId="0D54000E"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As normas que regulam o sistema não podem ser afastadas, por imposição legal. Assim, inaplicável ao caso o Código de Proteção e Defesa do Consumidor, nos termos pretendido (exceto para a seara processual), porquanto o programa em questão segue normas próprias, utilizando-se de recursos provenientes de fundo institucional. De qualquer sorte, cabe sinalar que as disposições contratuais em discussão não violam as leis de consumo, como se demonstrará ao longo da defesa. </w:t>
      </w:r>
    </w:p>
    <w:p w14:paraId="07FFA493" w14:textId="5607F36B"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lastRenderedPageBreak/>
        <w:t xml:space="preserve">Por fim, cumpre transcrever trecho de decisão proferida pelo Juiz Federal Marcos </w:t>
      </w:r>
      <w:proofErr w:type="spellStart"/>
      <w:r w:rsidRPr="00DC4F88">
        <w:rPr>
          <w:rFonts w:cs="Calibri"/>
          <w:sz w:val="24"/>
          <w:szCs w:val="24"/>
        </w:rPr>
        <w:t>Eduarte</w:t>
      </w:r>
      <w:proofErr w:type="spellEnd"/>
      <w:r w:rsidRPr="00DC4F88">
        <w:rPr>
          <w:rFonts w:cs="Calibri"/>
          <w:sz w:val="24"/>
          <w:szCs w:val="24"/>
        </w:rPr>
        <w:t xml:space="preserve"> </w:t>
      </w:r>
      <w:proofErr w:type="spellStart"/>
      <w:r w:rsidRPr="00DC4F88">
        <w:rPr>
          <w:rFonts w:cs="Calibri"/>
          <w:sz w:val="24"/>
          <w:szCs w:val="24"/>
        </w:rPr>
        <w:t>Reolon</w:t>
      </w:r>
      <w:proofErr w:type="spellEnd"/>
      <w:r w:rsidRPr="00DC4F88">
        <w:rPr>
          <w:rFonts w:cs="Calibri"/>
          <w:sz w:val="24"/>
          <w:szCs w:val="24"/>
        </w:rPr>
        <w:t>, da 24ª Vara Federal de Porto Alegre, a respeito do assunto:</w:t>
      </w:r>
    </w:p>
    <w:p w14:paraId="77E5051F" w14:textId="77777777" w:rsidR="007B689A" w:rsidRPr="00DC4F88" w:rsidRDefault="007B689A" w:rsidP="007B689A">
      <w:pPr>
        <w:spacing w:before="200" w:after="200" w:line="240" w:lineRule="auto"/>
        <w:jc w:val="both"/>
        <w:rPr>
          <w:rFonts w:cs="Calibri"/>
          <w:sz w:val="24"/>
          <w:szCs w:val="24"/>
        </w:rPr>
      </w:pPr>
    </w:p>
    <w:p w14:paraId="7DAD9142" w14:textId="59BB44B3" w:rsidR="007B689A" w:rsidRPr="00DC4F88" w:rsidRDefault="007B689A" w:rsidP="007B689A">
      <w:pPr>
        <w:spacing w:before="200" w:after="200" w:line="240" w:lineRule="auto"/>
        <w:ind w:left="2268"/>
        <w:jc w:val="both"/>
        <w:rPr>
          <w:rFonts w:cs="Calibri"/>
          <w:b/>
          <w:bCs/>
          <w:sz w:val="24"/>
          <w:szCs w:val="24"/>
          <w:u w:val="single"/>
        </w:rPr>
      </w:pPr>
      <w:r w:rsidRPr="00DC4F88">
        <w:rPr>
          <w:rFonts w:cs="Calibri"/>
          <w:sz w:val="24"/>
          <w:szCs w:val="24"/>
        </w:rPr>
        <w:t>No ponto, a atuação da CEF limita-se à realização de políticas públicas habitacionais implementadas pelo Governo Federal, razão pela qual não haveria que se falar, em princípio, na aplicação do CDC. Se a presente demanda controvertesse um contrato de financiamento, em que a Caixa atua como agente financeiro intermediador da realização da política pública, concorrendo, inclusive, com outros bancos que disputassem com ela a captação da clientela no mercado, aí sim poder-se-ia reconhecer, de pronto, a aplicabilidade da legislação consumerista. Contudo, na medida em que se questiona imóvel negociado no âmbito do FAR, com incidência de subvenção, a relação jurídica enfrentada é entre cidadão e Estado, sem a oferta de um serviço público, mas de um benefício, já que o fundo está vinculado ao Ministério das Cidades. Reconhecer, aqui, uma relação de consumo, redundaria em também reconhecer que outros Programas Governamentais, a exemplo do Bolsa Família, consubstanciariam uma relação de consumo, quando em verdade o cidadão não é consumidor de políticas públicas, mas, reitero, beneficiado pelo Estado por ostentar condição especial. É necessário acautelar-se para não vulgarizar a relação de consumo a todas as esferas do cidadão. Um benefício reconhecido pelo governo não tem caráter de serviço público, mas de política pública destinada ao atingimento do direito social à moradia, na situação dos autos, insculpido na Constituição de 1988.</w:t>
      </w:r>
    </w:p>
    <w:p w14:paraId="7C1777B8" w14:textId="77777777" w:rsidR="007B689A" w:rsidRPr="00DC4F88" w:rsidRDefault="007B689A" w:rsidP="007B689A">
      <w:pPr>
        <w:spacing w:before="200" w:after="200" w:line="240" w:lineRule="auto"/>
        <w:rPr>
          <w:rFonts w:cs="Calibri"/>
          <w:b/>
          <w:bCs/>
          <w:sz w:val="24"/>
          <w:szCs w:val="24"/>
          <w:u w:val="single"/>
        </w:rPr>
      </w:pPr>
    </w:p>
    <w:p w14:paraId="1AD0C1B8" w14:textId="77777777" w:rsidR="007B689A" w:rsidRPr="00DC4F88" w:rsidRDefault="007B689A" w:rsidP="007B689A">
      <w:pPr>
        <w:spacing w:before="200" w:after="200" w:line="240" w:lineRule="auto"/>
        <w:rPr>
          <w:rFonts w:cs="Calibri"/>
          <w:b/>
          <w:bCs/>
          <w:sz w:val="24"/>
          <w:szCs w:val="24"/>
          <w:u w:val="single"/>
        </w:rPr>
      </w:pPr>
    </w:p>
    <w:p w14:paraId="686B8E66" w14:textId="77777777" w:rsidR="007B689A" w:rsidRPr="00DC4F88" w:rsidRDefault="007B689A" w:rsidP="007B689A">
      <w:pPr>
        <w:spacing w:before="200" w:after="200" w:line="240" w:lineRule="auto"/>
        <w:rPr>
          <w:rFonts w:cs="Calibri"/>
          <w:b/>
          <w:bCs/>
          <w:sz w:val="24"/>
          <w:szCs w:val="24"/>
          <w:u w:val="single"/>
        </w:rPr>
      </w:pPr>
    </w:p>
    <w:p w14:paraId="1D3E54FE" w14:textId="0AFF9146" w:rsidR="007B689A" w:rsidRPr="00DC4F88" w:rsidRDefault="007B689A" w:rsidP="007B689A">
      <w:pPr>
        <w:spacing w:before="200" w:after="200" w:line="240" w:lineRule="auto"/>
        <w:jc w:val="center"/>
        <w:rPr>
          <w:rFonts w:cs="Calibri"/>
          <w:b/>
          <w:bCs/>
          <w:sz w:val="24"/>
          <w:szCs w:val="24"/>
          <w:u w:val="single"/>
        </w:rPr>
      </w:pPr>
      <w:r w:rsidRPr="00DC4F88">
        <w:rPr>
          <w:rFonts w:cs="Calibri"/>
          <w:b/>
          <w:bCs/>
          <w:sz w:val="24"/>
          <w:szCs w:val="24"/>
          <w:u w:val="single"/>
        </w:rPr>
        <w:t>III. NO MÉRITO</w:t>
      </w:r>
    </w:p>
    <w:p w14:paraId="1F354A72"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Inicialmente, informa-se que em breve serão trazidos aos autos os documentos referentes ao empreendimento onde se localiza o imóvel objeto da presente ação. Para tanto, requer a concessão do prazo de 5 (cinco) dias, visto que estão sendo realizadas diligências junto aos setores responsáveis. </w:t>
      </w:r>
    </w:p>
    <w:p w14:paraId="710CA8C5"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Cumpre destacar à época da conclusão das obras, por ocasião da vistoria final, não foram verificados os problemas alegados e o empreendimento apresentava condições de habitabilidade, tendo carta </w:t>
      </w:r>
      <w:proofErr w:type="gramStart"/>
      <w:r w:rsidRPr="00DC4F88">
        <w:rPr>
          <w:rFonts w:cs="Calibri"/>
          <w:sz w:val="24"/>
          <w:szCs w:val="24"/>
        </w:rPr>
        <w:t>de Habite-se</w:t>
      </w:r>
      <w:proofErr w:type="gramEnd"/>
      <w:r w:rsidRPr="00DC4F88">
        <w:rPr>
          <w:rFonts w:cs="Calibri"/>
          <w:sz w:val="24"/>
          <w:szCs w:val="24"/>
        </w:rPr>
        <w:t xml:space="preserve"> emitida pela Prefeitura Municipal. </w:t>
      </w:r>
    </w:p>
    <w:p w14:paraId="3BFC5432"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Há de se levar em consideração que pedido da inicial é genérico, não apresenta laudo técnico e não traz orçamentos ou detalhamento dos danos. Trata-se de ação cujo expediente de captar clientes de forma massificada vem se repetindo por todo o país de forma indiscriminada nos empreendimentos do Programa MCMV. </w:t>
      </w:r>
    </w:p>
    <w:p w14:paraId="7D4DBAB7" w14:textId="0DB38B86" w:rsidR="007B689A" w:rsidRPr="00DC4F88" w:rsidRDefault="007B689A" w:rsidP="00DC4F88">
      <w:pPr>
        <w:spacing w:before="200" w:after="200" w:line="240" w:lineRule="auto"/>
        <w:ind w:firstLine="567"/>
        <w:jc w:val="both"/>
        <w:rPr>
          <w:rFonts w:cs="Calibri"/>
          <w:b/>
          <w:bCs/>
          <w:sz w:val="24"/>
          <w:szCs w:val="24"/>
          <w:u w:val="single"/>
        </w:rPr>
      </w:pPr>
      <w:r w:rsidRPr="00DC4F88">
        <w:rPr>
          <w:rFonts w:cs="Calibri"/>
          <w:sz w:val="24"/>
          <w:szCs w:val="24"/>
        </w:rPr>
        <w:t>Da mesma forma, todas as reclamações são absolutamente genéricas não permitindo nem mesmo a defesa, dada a inexistência de dados específicos.</w:t>
      </w:r>
    </w:p>
    <w:p w14:paraId="3D35CBDD" w14:textId="77777777" w:rsidR="007B689A"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A Caixa Econômica Federal é ilegítima para compor a demanda, uma vez que não é responsável pela edificação ou sua fiscalização. A responsabilidade pelos vícios construtivos alegados, se eventualmente comprovados em perícia técnica, deve ser buscada diretamente perante os responsáveis pela construção, no juízo competente. </w:t>
      </w:r>
    </w:p>
    <w:p w14:paraId="5F4D5CF2" w14:textId="77777777" w:rsidR="006A71F7" w:rsidRPr="00DC4F88" w:rsidRDefault="007B689A" w:rsidP="00DC4F88">
      <w:pPr>
        <w:spacing w:before="200" w:after="200" w:line="240" w:lineRule="auto"/>
        <w:ind w:firstLine="567"/>
        <w:jc w:val="both"/>
        <w:rPr>
          <w:rFonts w:cs="Calibri"/>
          <w:sz w:val="24"/>
          <w:szCs w:val="24"/>
        </w:rPr>
      </w:pPr>
      <w:r w:rsidRPr="00DC4F88">
        <w:rPr>
          <w:rFonts w:cs="Calibri"/>
          <w:sz w:val="24"/>
          <w:szCs w:val="24"/>
        </w:rPr>
        <w:lastRenderedPageBreak/>
        <w:t xml:space="preserve">Cumpre esclarecer, ainda, que o setor de engenharia da CAIXA não realiza atividade técnica de “fiscalização de obra”. Isso porque os engenheiros da CAIXA não têm a atribuição de acompanhar diariamente a execução da obra dos empreendimentos, mas apenas visitá-la periodicamente para verificar o seu andamento. Assim, o engenheiro da CAIXA visita a obra mensalmente apenas para checar se a etapa prevista foi realmente cumprida para opinar ou não pela liberação da respectiva parcela do(s) financiamento(s) e não para orientar e checar a execução minuciosa dos serviços e/ou fiscalizar ou instruir os operários a respeito de determinada técnica construtiva. </w:t>
      </w:r>
    </w:p>
    <w:p w14:paraId="5B827C93" w14:textId="77777777" w:rsidR="006A71F7" w:rsidRPr="00DC4F88" w:rsidRDefault="007B689A" w:rsidP="00DC4F88">
      <w:pPr>
        <w:spacing w:before="200" w:after="200" w:line="240" w:lineRule="auto"/>
        <w:ind w:firstLine="567"/>
        <w:jc w:val="both"/>
        <w:rPr>
          <w:rFonts w:cs="Calibri"/>
          <w:sz w:val="24"/>
          <w:szCs w:val="24"/>
        </w:rPr>
      </w:pPr>
      <w:r w:rsidRPr="00DC4F88">
        <w:rPr>
          <w:rFonts w:cs="Calibri"/>
          <w:sz w:val="24"/>
          <w:szCs w:val="24"/>
        </w:rPr>
        <w:t xml:space="preserve">O financiamento é concedido para a construção de bem </w:t>
      </w:r>
      <w:proofErr w:type="gramStart"/>
      <w:r w:rsidRPr="00DC4F88">
        <w:rPr>
          <w:rFonts w:cs="Calibri"/>
          <w:sz w:val="24"/>
          <w:szCs w:val="24"/>
        </w:rPr>
        <w:t>especifico</w:t>
      </w:r>
      <w:proofErr w:type="gramEnd"/>
      <w:r w:rsidRPr="00DC4F88">
        <w:rPr>
          <w:rFonts w:cs="Calibri"/>
          <w:sz w:val="24"/>
          <w:szCs w:val="24"/>
        </w:rPr>
        <w:t xml:space="preserve"> a ser alienado como garantia, sob a responsabilidade técnica de profissional habilitado e que assina a ART - Anotação de Responsabilidade Técnica, portanto não se verifica nexo causal entre a atividade da CEF e o dano causado ao autor caracterizado por vícios construtivos. </w:t>
      </w:r>
    </w:p>
    <w:p w14:paraId="09F967B2" w14:textId="76D16AD9" w:rsidR="007B689A" w:rsidRPr="00DC4F88" w:rsidRDefault="007B689A" w:rsidP="00DC4F88">
      <w:pPr>
        <w:spacing w:before="200" w:after="200" w:line="240" w:lineRule="auto"/>
        <w:ind w:firstLine="567"/>
        <w:jc w:val="both"/>
        <w:rPr>
          <w:rFonts w:cs="Calibri"/>
          <w:b/>
          <w:bCs/>
          <w:color w:val="FF0000"/>
          <w:sz w:val="24"/>
          <w:szCs w:val="24"/>
          <w:u w:val="single"/>
        </w:rPr>
      </w:pPr>
      <w:r w:rsidRPr="00DC4F88">
        <w:rPr>
          <w:rFonts w:cs="Calibri"/>
          <w:sz w:val="24"/>
          <w:szCs w:val="24"/>
        </w:rPr>
        <w:t xml:space="preserve">Informa-se que a construtora responsável pelo empreendimento </w:t>
      </w:r>
      <w:r w:rsidR="009A636B" w:rsidRPr="00DC4F88">
        <w:rPr>
          <w:rFonts w:cs="Calibri"/>
          <w:sz w:val="24"/>
          <w:szCs w:val="24"/>
        </w:rPr>
        <w:t>que deverá responder por eventuais vícios na obra do imóvel.</w:t>
      </w:r>
    </w:p>
    <w:p w14:paraId="1EAB1F31" w14:textId="77777777" w:rsidR="007B689A" w:rsidRPr="00DC4F88" w:rsidRDefault="007B689A" w:rsidP="00DC4F88">
      <w:pPr>
        <w:spacing w:before="200" w:after="200" w:line="240" w:lineRule="auto"/>
        <w:ind w:firstLine="567"/>
        <w:rPr>
          <w:rFonts w:cs="Calibri"/>
          <w:b/>
          <w:bCs/>
          <w:sz w:val="24"/>
          <w:szCs w:val="24"/>
          <w:u w:val="single"/>
        </w:rPr>
      </w:pPr>
    </w:p>
    <w:p w14:paraId="301B88AA" w14:textId="24B34506" w:rsidR="006A71F7" w:rsidRPr="00DC4F88" w:rsidRDefault="006A71F7" w:rsidP="006A71F7">
      <w:pPr>
        <w:spacing w:before="200" w:after="200" w:line="240" w:lineRule="auto"/>
        <w:jc w:val="center"/>
        <w:rPr>
          <w:rFonts w:cs="Calibri"/>
          <w:b/>
          <w:bCs/>
          <w:sz w:val="24"/>
          <w:szCs w:val="24"/>
          <w:u w:val="single"/>
        </w:rPr>
      </w:pPr>
      <w:r w:rsidRPr="00DC4F88">
        <w:rPr>
          <w:rFonts w:cs="Calibri"/>
          <w:b/>
          <w:bCs/>
          <w:sz w:val="24"/>
          <w:szCs w:val="24"/>
          <w:u w:val="single"/>
        </w:rPr>
        <w:t>NATUREZA DO F</w:t>
      </w:r>
      <w:r w:rsidR="009A636B" w:rsidRPr="00DC4F88">
        <w:rPr>
          <w:rFonts w:cs="Calibri"/>
          <w:b/>
          <w:bCs/>
          <w:sz w:val="24"/>
          <w:szCs w:val="24"/>
          <w:u w:val="single"/>
        </w:rPr>
        <w:t>UNDO DE ARRENDAMENTO RESIDENCIAL</w:t>
      </w:r>
    </w:p>
    <w:p w14:paraId="37E39FB7" w14:textId="77777777" w:rsidR="006A71F7" w:rsidRPr="00DC4F88" w:rsidRDefault="006A71F7" w:rsidP="006A71F7">
      <w:pPr>
        <w:spacing w:before="200" w:after="200" w:line="240" w:lineRule="auto"/>
        <w:jc w:val="both"/>
        <w:rPr>
          <w:rFonts w:cs="Calibri"/>
          <w:sz w:val="24"/>
          <w:szCs w:val="24"/>
        </w:rPr>
      </w:pPr>
    </w:p>
    <w:p w14:paraId="7F4B2236"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O Fundo de Arrendamento Residencial – FAR foi constituído com base no Voto CAIXA 140, Ata 1.419, de 27 de maio de 1999, com fundamento na Lei nº 10.188, de 12 de fevereiro de 2001 e alterações e iniciou suas atividades em 1º de junho de 1999, com a finalidade de viabilizar o Programa de Arrendamento Residencial – PAR. </w:t>
      </w:r>
    </w:p>
    <w:p w14:paraId="05D22E4A" w14:textId="77777777" w:rsidR="006A71F7" w:rsidRPr="00DC4F88" w:rsidRDefault="006A71F7" w:rsidP="006A71F7">
      <w:pPr>
        <w:spacing w:before="200" w:after="200" w:line="240" w:lineRule="auto"/>
        <w:jc w:val="both"/>
        <w:rPr>
          <w:rFonts w:cs="Calibri"/>
          <w:sz w:val="24"/>
          <w:szCs w:val="24"/>
        </w:rPr>
      </w:pPr>
    </w:p>
    <w:p w14:paraId="5E56C430" w14:textId="2BBCD207" w:rsidR="006A71F7" w:rsidRPr="00DC4F88" w:rsidRDefault="006A71F7" w:rsidP="006A71F7">
      <w:pPr>
        <w:spacing w:before="200" w:after="200" w:line="240" w:lineRule="auto"/>
        <w:ind w:left="2268"/>
        <w:jc w:val="both"/>
        <w:rPr>
          <w:rFonts w:cs="Calibri"/>
          <w:i/>
          <w:iCs/>
          <w:sz w:val="24"/>
          <w:szCs w:val="24"/>
        </w:rPr>
      </w:pPr>
      <w:r w:rsidRPr="00DC4F88">
        <w:rPr>
          <w:rFonts w:cs="Calibri"/>
          <w:i/>
          <w:iCs/>
          <w:sz w:val="24"/>
          <w:szCs w:val="24"/>
        </w:rPr>
        <w:t>Art. 2º Para a operacionalização do Programa instituído nesta Lei é a CEF autorizada a criar um fundo financeiro privado com o fim exclusivo de segregação patrimonial e contábil dos haveres financeiros e imobiliários destinados ao Programa. (Redação dada pela Lei nº 12.693, de 2012) § 1º A gestão do Programa cabe ao Ministério das Cidades e sua operacionalização à Caixa Econômica Federal - CEF. (Redação dada pela Lei nº 10.859, de 2004)</w:t>
      </w:r>
    </w:p>
    <w:p w14:paraId="001B0C05" w14:textId="77777777" w:rsidR="006A71F7" w:rsidRPr="00DC4F88" w:rsidRDefault="006A71F7" w:rsidP="006A71F7">
      <w:pPr>
        <w:spacing w:before="200" w:after="200" w:line="240" w:lineRule="auto"/>
        <w:ind w:left="2268"/>
        <w:jc w:val="both"/>
        <w:rPr>
          <w:rFonts w:cs="Calibri"/>
          <w:i/>
          <w:iCs/>
          <w:sz w:val="24"/>
          <w:szCs w:val="24"/>
        </w:rPr>
      </w:pPr>
    </w:p>
    <w:p w14:paraId="6F9B1C9D" w14:textId="6526910E" w:rsidR="006A71F7" w:rsidRPr="00DC4F88" w:rsidRDefault="006A71F7" w:rsidP="006A71F7">
      <w:pPr>
        <w:spacing w:before="200" w:after="200" w:line="240" w:lineRule="auto"/>
        <w:ind w:left="2268"/>
        <w:jc w:val="both"/>
        <w:rPr>
          <w:rFonts w:cs="Calibri"/>
          <w:b/>
          <w:bCs/>
          <w:i/>
          <w:iCs/>
          <w:sz w:val="24"/>
          <w:szCs w:val="24"/>
          <w:u w:val="single"/>
        </w:rPr>
      </w:pPr>
      <w:r w:rsidRPr="00DC4F88">
        <w:rPr>
          <w:rFonts w:cs="Calibri"/>
          <w:i/>
          <w:iCs/>
          <w:sz w:val="24"/>
          <w:szCs w:val="24"/>
        </w:rPr>
        <w:t>§ 8º Cabe à CEF a gestão do fundo a que se refere o caput e a proposição de seu regulamento para a aprovação da assembleia de cotistas. (Redação dada pela Lei nº 12.693, de 2012)</w:t>
      </w:r>
    </w:p>
    <w:p w14:paraId="7B05747F" w14:textId="77777777" w:rsidR="007B689A" w:rsidRPr="00DC4F88" w:rsidRDefault="007B689A" w:rsidP="007B689A">
      <w:pPr>
        <w:spacing w:before="200" w:after="200" w:line="240" w:lineRule="auto"/>
        <w:rPr>
          <w:rFonts w:cs="Calibri"/>
          <w:b/>
          <w:bCs/>
          <w:sz w:val="24"/>
          <w:szCs w:val="24"/>
          <w:u w:val="single"/>
        </w:rPr>
      </w:pPr>
    </w:p>
    <w:p w14:paraId="3DBEC67C" w14:textId="77777777" w:rsidR="006A71F7" w:rsidRPr="00DC4F88" w:rsidRDefault="006A71F7" w:rsidP="007B689A">
      <w:pPr>
        <w:spacing w:before="200" w:after="200" w:line="240" w:lineRule="auto"/>
        <w:rPr>
          <w:rFonts w:cs="Calibri"/>
          <w:sz w:val="24"/>
          <w:szCs w:val="24"/>
        </w:rPr>
      </w:pPr>
      <w:r w:rsidRPr="00DC4F88">
        <w:rPr>
          <w:rFonts w:cs="Calibri"/>
          <w:sz w:val="24"/>
          <w:szCs w:val="24"/>
        </w:rPr>
        <w:t xml:space="preserve">O Art. 4º da Lei 10.188/2001 define as competências do Fundo em questão e possui a seguinte redação: </w:t>
      </w:r>
    </w:p>
    <w:p w14:paraId="2E71F04B" w14:textId="77777777" w:rsidR="006A71F7" w:rsidRPr="00DC4F88" w:rsidRDefault="006A71F7" w:rsidP="007B689A">
      <w:pPr>
        <w:spacing w:before="200" w:after="200" w:line="240" w:lineRule="auto"/>
        <w:rPr>
          <w:rFonts w:cs="Calibri"/>
          <w:sz w:val="24"/>
          <w:szCs w:val="24"/>
        </w:rPr>
      </w:pPr>
    </w:p>
    <w:p w14:paraId="09565458" w14:textId="5AD1673A" w:rsidR="006A71F7" w:rsidRPr="00DC4F88" w:rsidRDefault="006A71F7" w:rsidP="006A71F7">
      <w:pPr>
        <w:spacing w:before="200" w:after="200" w:line="240" w:lineRule="auto"/>
        <w:ind w:left="2268"/>
        <w:jc w:val="both"/>
        <w:rPr>
          <w:rFonts w:cs="Calibri"/>
          <w:b/>
          <w:bCs/>
          <w:i/>
          <w:iCs/>
          <w:sz w:val="24"/>
          <w:szCs w:val="24"/>
          <w:u w:val="single"/>
        </w:rPr>
      </w:pPr>
      <w:r w:rsidRPr="00DC4F88">
        <w:rPr>
          <w:rFonts w:cs="Calibri"/>
          <w:i/>
          <w:iCs/>
          <w:sz w:val="24"/>
          <w:szCs w:val="24"/>
        </w:rPr>
        <w:t xml:space="preserve">Art. 4º Compete à CEF: III - expedir os atos necessários à operacionalização do Programa; IV - definir os critérios técnicos a serem observados na aquisição, alienação e no arrendamento com opção de compra dos imóveis destinados ao Programa; (Redação dada pela Lei nº 11.474, de 2007) Parágrafo único. As operações de aquisição, construção, recuperação, arrendamento e venda de imóveis obedecerão aos critérios estabelecidos pela CEF, respeitados os princípios da legalidade, finalidade, razoabilidade, moralidade administrativa, interesse </w:t>
      </w:r>
      <w:r w:rsidRPr="00DC4F88">
        <w:rPr>
          <w:rFonts w:cs="Calibri"/>
          <w:i/>
          <w:iCs/>
          <w:sz w:val="24"/>
          <w:szCs w:val="24"/>
        </w:rPr>
        <w:lastRenderedPageBreak/>
        <w:t>público e eficiência, ficando dispensada da observância das disposições específicas da lei geral de licitação.</w:t>
      </w:r>
    </w:p>
    <w:p w14:paraId="0A67968B" w14:textId="77777777" w:rsidR="006A71F7" w:rsidRPr="00DC4F88" w:rsidRDefault="006A71F7" w:rsidP="007B689A">
      <w:pPr>
        <w:spacing w:before="200" w:after="200" w:line="240" w:lineRule="auto"/>
        <w:rPr>
          <w:rFonts w:cs="Calibri"/>
          <w:b/>
          <w:bCs/>
          <w:sz w:val="24"/>
          <w:szCs w:val="24"/>
          <w:u w:val="single"/>
        </w:rPr>
      </w:pPr>
    </w:p>
    <w:p w14:paraId="27AA3E2D" w14:textId="77777777" w:rsidR="006A71F7" w:rsidRPr="00DC4F88" w:rsidRDefault="006A71F7" w:rsidP="006A71F7">
      <w:pPr>
        <w:spacing w:before="200" w:after="200" w:line="240" w:lineRule="auto"/>
        <w:jc w:val="both"/>
        <w:rPr>
          <w:rFonts w:cs="Calibri"/>
          <w:sz w:val="24"/>
          <w:szCs w:val="24"/>
        </w:rPr>
      </w:pPr>
      <w:r w:rsidRPr="00DC4F88">
        <w:rPr>
          <w:rFonts w:cs="Calibri"/>
          <w:sz w:val="24"/>
          <w:szCs w:val="24"/>
        </w:rPr>
        <w:t xml:space="preserve">A Lei nº 11.977, de 07 de julho de 2009, alterada pela Lei 12.424, de 16 de junho de 2011 em seu Art. 2º, inciso II inclui a participação do FAR no Programa Minha Casa Minha Vida - PMCMV: </w:t>
      </w:r>
    </w:p>
    <w:p w14:paraId="6C58F577" w14:textId="77777777" w:rsidR="006A71F7" w:rsidRPr="00DC4F88" w:rsidRDefault="006A71F7" w:rsidP="006A71F7">
      <w:pPr>
        <w:spacing w:before="200" w:after="200" w:line="240" w:lineRule="auto"/>
        <w:ind w:left="2268"/>
        <w:jc w:val="both"/>
        <w:rPr>
          <w:rFonts w:cs="Calibri"/>
          <w:sz w:val="24"/>
          <w:szCs w:val="24"/>
        </w:rPr>
      </w:pPr>
    </w:p>
    <w:p w14:paraId="76F39D4B" w14:textId="4920047C"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sz w:val="24"/>
          <w:szCs w:val="24"/>
        </w:rPr>
        <w:t>Art. 2º Para a implementação do PMCMV, a União, observada a disponibilidade orçamentária e financeira: (Redação dada pela Lei nº 12.424, de 2011) II – participará do Fundo de Arrendamento Residencial (FAR), mediante integralização de cotas e transferirá recursos ao Fundo de Desenvolvimento Social (FDS) de que tratam, respectivamente, a Lei no 10.188, de 12 de fevereiro de 2001, e a Lei no 8.677, de 13 de julho de 1993; (Redação dada pela Lei nº 12.693, de 2012) Art. 6º-A. As operações realizadas com recursos advindos da integralização de cotas no FAR e recursos transferidos ao FDS, conforme previsto no inciso II do caput do art. 2º, são limitadas a famílias com renda mensal de até R$ 1.395,00 (mil trezentos e noventa e cinco reais), e condicionadas a: (Redação dada pela Lei nº 12.693, de 2012) III - cobertura de danos físicos ao imóvel, sem cobrança de contribuição do beneficiário. (Incluído pela Lei nº 12.424, de 2011</w:t>
      </w:r>
    </w:p>
    <w:p w14:paraId="6D3831F8" w14:textId="77777777" w:rsidR="006A71F7" w:rsidRPr="00DC4F88" w:rsidRDefault="006A71F7" w:rsidP="007B689A">
      <w:pPr>
        <w:spacing w:before="200" w:after="200" w:line="240" w:lineRule="auto"/>
        <w:rPr>
          <w:rFonts w:cs="Calibri"/>
          <w:b/>
          <w:bCs/>
          <w:sz w:val="24"/>
          <w:szCs w:val="24"/>
          <w:u w:val="single"/>
        </w:rPr>
      </w:pPr>
    </w:p>
    <w:p w14:paraId="55573271" w14:textId="11CB884C" w:rsidR="006A71F7" w:rsidRPr="00DC4F88" w:rsidRDefault="006A71F7" w:rsidP="00DC4F88">
      <w:pPr>
        <w:spacing w:before="200" w:after="200" w:line="240" w:lineRule="auto"/>
        <w:ind w:firstLine="567"/>
        <w:jc w:val="both"/>
        <w:rPr>
          <w:rFonts w:cs="Calibri"/>
          <w:b/>
          <w:bCs/>
          <w:sz w:val="24"/>
          <w:szCs w:val="24"/>
          <w:u w:val="single"/>
        </w:rPr>
      </w:pPr>
      <w:r w:rsidRPr="00DC4F88">
        <w:rPr>
          <w:rFonts w:cs="Calibri"/>
          <w:sz w:val="24"/>
          <w:szCs w:val="24"/>
        </w:rPr>
        <w:t>O FAR tem por objetivo prover recursos ao Programa de Arrendamento Residencial - PAR e ao Programa Minha Casa Minha Vida - PMCMV, para realização de investimentos no desenvolvimento de empreendimentos imobiliários (unidades habitacionais), mediante constituição de carteira diversificada de ativos imobiliários, financeiros e/ou modalidades operacionais disponíveis no âmbito do mercado financeiro.</w:t>
      </w:r>
    </w:p>
    <w:p w14:paraId="11C8B2B7" w14:textId="77777777" w:rsidR="006A71F7" w:rsidRPr="00DC4F88" w:rsidRDefault="006A71F7" w:rsidP="00DC4F88">
      <w:pPr>
        <w:spacing w:before="200" w:after="200" w:line="240" w:lineRule="auto"/>
        <w:ind w:firstLine="567"/>
        <w:jc w:val="both"/>
        <w:rPr>
          <w:rFonts w:cs="Calibri"/>
          <w:b/>
          <w:bCs/>
          <w:sz w:val="24"/>
          <w:szCs w:val="24"/>
          <w:u w:val="single"/>
        </w:rPr>
      </w:pPr>
    </w:p>
    <w:p w14:paraId="2D6D7C8E"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O Programa Minha Casa Minha Vida – PMCMV Faixa I destina-se à aquisição e construção ou requalificação de empreendimentos, com a participação de construtora, cujas unidades habitacionais são destinadas à alienação para famílias com renda bruta mensal de até R$ 1.600,00, indicadas pelo Município ou Governo do Estado/Distrito Federal. Seu objetivo é tornar acessível a moradia para famílias de baixa renda, por intermédio da produção, aquisição e requalificação de imóveis urbanos, concessão de parcelamento aos beneficiários, bem como prestar garantia de DFI - Danos Físicos no Imóvel e de MIP – Morte e Invalidez Permanente, atendendo aos padrões mínimos de sustentabilidade, segurança e habitabilidade, com subvenções econômicas concedidas nas prestações do financiamento. </w:t>
      </w:r>
    </w:p>
    <w:p w14:paraId="0ADA4C8D" w14:textId="77777777" w:rsidR="006A71F7" w:rsidRPr="00DC4F88" w:rsidRDefault="006A71F7" w:rsidP="006A71F7">
      <w:pPr>
        <w:spacing w:before="200" w:after="200" w:line="240" w:lineRule="auto"/>
        <w:jc w:val="both"/>
        <w:rPr>
          <w:rFonts w:cs="Calibri"/>
          <w:sz w:val="24"/>
          <w:szCs w:val="24"/>
        </w:rPr>
      </w:pPr>
    </w:p>
    <w:p w14:paraId="608A0913" w14:textId="5C502CFA" w:rsidR="006A71F7" w:rsidRPr="00DC4F88" w:rsidRDefault="006A71F7" w:rsidP="006A71F7">
      <w:pPr>
        <w:spacing w:before="200" w:after="200" w:line="240" w:lineRule="auto"/>
        <w:jc w:val="both"/>
        <w:rPr>
          <w:rFonts w:cs="Calibri"/>
          <w:b/>
          <w:bCs/>
          <w:sz w:val="24"/>
          <w:szCs w:val="24"/>
          <w:u w:val="single"/>
        </w:rPr>
      </w:pPr>
      <w:r w:rsidRPr="00DC4F88">
        <w:rPr>
          <w:rFonts w:cs="Calibri"/>
          <w:sz w:val="24"/>
          <w:szCs w:val="24"/>
        </w:rPr>
        <w:t>A Lei nº 11.977/2009, instituidora do Programa Minha Casa Minha Vida – PMCMV, traz em seu artigo 79, a redação abaixo transcrita</w:t>
      </w:r>
    </w:p>
    <w:p w14:paraId="26D1A31C" w14:textId="77777777" w:rsidR="006A71F7" w:rsidRPr="00DC4F88" w:rsidRDefault="006A71F7" w:rsidP="007B689A">
      <w:pPr>
        <w:spacing w:before="200" w:after="200" w:line="240" w:lineRule="auto"/>
        <w:rPr>
          <w:rFonts w:cs="Calibri"/>
          <w:b/>
          <w:bCs/>
          <w:sz w:val="24"/>
          <w:szCs w:val="24"/>
          <w:u w:val="single"/>
        </w:rPr>
      </w:pPr>
    </w:p>
    <w:p w14:paraId="5F7F73CB" w14:textId="7CE6C23E"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sz w:val="24"/>
          <w:szCs w:val="24"/>
        </w:rPr>
        <w:t xml:space="preserve">Art. 79. Os agentes financeiros do SFH somente poderão conceder financiamentos habitacionais com cobertura securitária que preveja, no mínimo, cobertura aos riscos de morte e invalidez permanente do mutuário e de danos físicos ao imóvel. (Redação dada pela Lei nº 12.424, de 2011) (...) § 3º Nas operações em que sejam utilizados recursos advindos do Fundo de Arrendamento Residencial - FAR e do Fundo de Desenvolvimento Social - FDS, os agentes financeiros poderão dispensar a contratação de seguro de que trata o </w:t>
      </w:r>
      <w:r w:rsidRPr="00DC4F88">
        <w:rPr>
          <w:rFonts w:cs="Calibri"/>
          <w:sz w:val="24"/>
          <w:szCs w:val="24"/>
        </w:rPr>
        <w:lastRenderedPageBreak/>
        <w:t>caput, nas hipóteses em que os riscos de morte e invalidez permanente do mutuário e de danos físicos ao imóvel estejam garantidos pelos respectivos fundos. (Incluído pela Lei nº 12.424, de 2011)</w:t>
      </w:r>
    </w:p>
    <w:p w14:paraId="564AE77E" w14:textId="77777777" w:rsidR="006A71F7" w:rsidRPr="00DC4F88" w:rsidRDefault="006A71F7" w:rsidP="006A71F7">
      <w:pPr>
        <w:spacing w:before="200" w:after="200" w:line="240" w:lineRule="auto"/>
        <w:jc w:val="both"/>
        <w:rPr>
          <w:rFonts w:cs="Calibri"/>
          <w:b/>
          <w:bCs/>
          <w:sz w:val="24"/>
          <w:szCs w:val="24"/>
          <w:u w:val="single"/>
        </w:rPr>
      </w:pPr>
    </w:p>
    <w:p w14:paraId="5E332AC3"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Assim, por força de Lei, os contratos de financiamentos habitacionais celebrados no âmbito do SFH somente podem ser concedidos se contemplarem cobertura securitária de MIP e DFI. Porém, para os contratos celebrados no âmbito do PMCMV Faixa I (recursos FAR), é dispensada a contração de seguro com seguradora, uma vez que as garantias são prestadas pelo próprio Fundo de Arrendamento Residencial – FAR, sem cobrança de contribuição do beneficiário, conforme disposto no Art. 6º-A da Lei 11.977/2009 e alterações posteriores. </w:t>
      </w:r>
    </w:p>
    <w:p w14:paraId="4A8E65C7" w14:textId="77777777" w:rsidR="006A71F7" w:rsidRPr="00DC4F88" w:rsidRDefault="006A71F7" w:rsidP="00DC4F88">
      <w:pPr>
        <w:spacing w:before="200" w:after="200" w:line="240" w:lineRule="auto"/>
        <w:ind w:firstLine="567"/>
        <w:jc w:val="both"/>
        <w:rPr>
          <w:rFonts w:cs="Calibri"/>
          <w:sz w:val="24"/>
          <w:szCs w:val="24"/>
        </w:rPr>
      </w:pPr>
    </w:p>
    <w:p w14:paraId="11128EDC" w14:textId="79DE5FAE"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É importante salientar que, aos contratos do PMCMV Faixa I (Recursos FAR), além de não haver cobrança de contribuição do beneficiário, as coberturas são previstas em contrato, inexistindo qualquer apólice vinculada que se possa exibir ou exigir; portanto, considerando não se tratar de “seguro”, o Fundo não está sujeito às normas e fiscalização da Superintendência de Seguros Privados – SUSEP.</w:t>
      </w:r>
    </w:p>
    <w:p w14:paraId="5ACC7813" w14:textId="77777777" w:rsidR="006A71F7" w:rsidRPr="00DC4F88" w:rsidRDefault="006A71F7" w:rsidP="00DC4F88">
      <w:pPr>
        <w:spacing w:before="200" w:after="200" w:line="240" w:lineRule="auto"/>
        <w:ind w:firstLine="567"/>
        <w:jc w:val="both"/>
        <w:rPr>
          <w:rFonts w:cs="Calibri"/>
          <w:sz w:val="24"/>
          <w:szCs w:val="24"/>
        </w:rPr>
      </w:pPr>
    </w:p>
    <w:p w14:paraId="101D65EC" w14:textId="0F6C441B" w:rsidR="006A71F7" w:rsidRPr="00DC4F88" w:rsidRDefault="006A71F7" w:rsidP="00DC4F88">
      <w:pPr>
        <w:spacing w:before="200" w:after="200" w:line="240" w:lineRule="auto"/>
        <w:ind w:firstLine="567"/>
        <w:jc w:val="both"/>
        <w:rPr>
          <w:rFonts w:cs="Calibri"/>
          <w:b/>
          <w:bCs/>
          <w:sz w:val="24"/>
          <w:szCs w:val="24"/>
          <w:u w:val="single"/>
        </w:rPr>
      </w:pPr>
      <w:r w:rsidRPr="00DC4F88">
        <w:rPr>
          <w:rFonts w:cs="Calibri"/>
          <w:sz w:val="24"/>
          <w:szCs w:val="24"/>
        </w:rPr>
        <w:t>A CAIXA, na qualidade de Gestor Operacional do PMCMV – Faixa I (recursos do FAR), expediu atos normativos necessários à operacionalização do Programa no que se refere ao acionamento de garantia por evento de Danos Físicos no Imóvel – DFI conforme abaixo:</w:t>
      </w:r>
    </w:p>
    <w:p w14:paraId="1FE26DA2" w14:textId="77777777" w:rsidR="006A71F7" w:rsidRPr="00DC4F88" w:rsidRDefault="006A71F7" w:rsidP="007B689A">
      <w:pPr>
        <w:spacing w:before="200" w:after="200" w:line="240" w:lineRule="auto"/>
        <w:rPr>
          <w:rFonts w:cs="Calibri"/>
          <w:b/>
          <w:bCs/>
          <w:sz w:val="24"/>
          <w:szCs w:val="24"/>
          <w:u w:val="single"/>
        </w:rPr>
      </w:pPr>
    </w:p>
    <w:p w14:paraId="7ED8A1A9" w14:textId="77777777" w:rsidR="006A71F7" w:rsidRPr="00DC4F88" w:rsidRDefault="006A71F7" w:rsidP="007B689A">
      <w:pPr>
        <w:spacing w:before="200" w:after="200" w:line="240" w:lineRule="auto"/>
        <w:rPr>
          <w:rFonts w:cs="Calibri"/>
          <w:b/>
          <w:bCs/>
          <w:sz w:val="24"/>
          <w:szCs w:val="24"/>
          <w:u w:val="single"/>
        </w:rPr>
      </w:pPr>
    </w:p>
    <w:p w14:paraId="31306E54"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MNPO - FAR - PMCMV MANUAL DE NORMAS E PROCEDIMENTOS OPERACIONAIS 3.22 COBERTURA DE SINISTROS 3.22.1 DFI – DANOS FÍSICOS DO IMÓVEL 3.22.1.1 São assumidas pelo FAR as despesas com reparação de DFI decorrentes de: a) incêndio; b) explosão; c) raio; d) vendaval; e) destelhamento ou danos comprovados em edificação componente da unidade habitacional causados por vento forte, granizo ou raio, excluído destelhamento ou danos ocorridos em cobertura de edifício em condomínio; f) inundação ou alagamento causada pelo transbordamento de rios ou canais, alimentados pelos mesmos e ainda que decorrente de chuva; g) desmoronamento total; h) desmoronamento parcial, assim entendido a destruição ou desabamento de paredes, vigas ou outro elemento estrutural; i) ameaça de desmoronamento, devidamente comprovada. </w:t>
      </w:r>
    </w:p>
    <w:p w14:paraId="2A40703D"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3.22.1.2 Com exceção dos riscos de incêndio e explosão, todos os demais citados no item acima são decorrentes de eventos de causa externa, assim entendidos os causados por forças que, atuando de fora para dentro, sobre o prédio, ou sobre o solo ou subsolo em que </w:t>
      </w:r>
      <w:proofErr w:type="gramStart"/>
      <w:r w:rsidRPr="00DC4F88">
        <w:rPr>
          <w:rFonts w:cs="Calibri"/>
          <w:sz w:val="24"/>
          <w:szCs w:val="24"/>
        </w:rPr>
        <w:t>o mesmo</w:t>
      </w:r>
      <w:proofErr w:type="gramEnd"/>
      <w:r w:rsidRPr="00DC4F88">
        <w:rPr>
          <w:rFonts w:cs="Calibri"/>
          <w:sz w:val="24"/>
          <w:szCs w:val="24"/>
        </w:rPr>
        <w:t xml:space="preserve"> se acha edificado, lhe causem danos, excluindo-se, por conseguinte, todo e qualquer dano sofrido pelo prédio ou benfeitorias que seja causado por seus próprios componentes, sem que sobre eles atue qualquer força anormal. </w:t>
      </w:r>
    </w:p>
    <w:p w14:paraId="01D2CC89"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3.22.1.3 Os prejuízos causados aos itens estruturais ou área comum tem cobertura do FAR quando sofrem danos provocados por propagação de sinistro incidente nas partes privativas do imóvel. </w:t>
      </w:r>
    </w:p>
    <w:p w14:paraId="2042D378"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3.22.1.4 O FAR não responderá pelos riscos, prejuízos ou gastos que se verificarem direta ou indiretamente em decorrência de: a) encargos mensais, </w:t>
      </w:r>
      <w:r w:rsidRPr="00DC4F88">
        <w:rPr>
          <w:rFonts w:cs="Calibri"/>
          <w:sz w:val="24"/>
          <w:szCs w:val="24"/>
        </w:rPr>
        <w:lastRenderedPageBreak/>
        <w:t xml:space="preserve">devidos pelo mutuário ao AF quando, em caso de ocorrência de DFI, for constatada a necessidade de sua desocupação, exceto os danos que decorrerem da execução de obras públicas; b) perda de conteúdo; c) despesas decorrentes de danos físicos nas partes comuns (tais como, por exemplo, áreas de lazer, guarita, salão de festas) e nas instalações / coberturas / telhados de edifícios em condomínio, que são de competência de atuação do síndico, pelas disposições legais de proceder seguro em nome do condomínio; d) prejuízos provenientes de dolo ou culpa, do beneficiário, seu cônjuge, filhos, empregados, representantes, inclusive danos decorrentes de atos por eles praticados em estado de insanidade mental, incapacidade, alcoolismo, efeito de substâncias tóxicas ou medicamentos com ou sem prescrição médica; e) fatores externos que provoquem a repetição de ocorrências anteriormente indenizadas sem que tenham sido tomadas, por quem de direito, as providências indicadas pelo AF; f) danos causados por, ou a qualquer espécie de veículo terrestre, aéreo ou aquático, incluindo seus instrumentos, acessórios e pertences; g) prejuízos advindos da sobrecarga ou da oscilação na rede elétrica, inclusive em consequência de queda de raio fora do terreno do imóvel segurado, que cause danos a fios, lâmpadas, chaves, fusíveis e, quaisquer aparelhos e/ou componentes elétricos ou eletrônicos; h) danos causados por água, incluindo os provenientes de rompimento de canos, mangueiras, adutoras, tubulações internas e externas e vazamento de caixa d’água, transbordamento de água proveniente de equipamentos, aparelhos, torneiras e registros, ainda que deixados abertos inadvertidamente; i) prejuízos resultantes de infiltrações de quaisquer espécies, incluindo as de entupimento de calhas, má conservação das instalações de água e esgoto do imóvel segurado ou de outros imóveis, rompimento de tubulações e/ou equipamentos, inclusive por congelamento de fluido contido nos mesmos, quebra ou estouro de válvulas de alívio de pressão; umidade, ferragem, ferrugem, corrosão, chuva, areia, terra no interior ou na área do imóvel segurado, proveniente de janelas, portas ou, quaisquer outras aberturas existentes no imóvel; j) atos de autoridades públicas, salvo para evitar propagação de danos cobertos pelo FAR; k) atos de inimigos estrangeiros, operações de guerra anteriores ou posteriores à sua declaração, guerra civil, revolução, rebelião, motim, greve, ato emanado de administração de qualquer área sob lei marcial ou estado de sítio; l) depredação, furto, roubo, invasão, vandalismo, ainda que tenham ocorrido durante qualquer dos eventos citados no item 3.22.1.1; m) qualquer perda ou destruição ou dano de quaisquer bens materiais, bem como qualquer prejuízo, despesa ou dano emergente, e ainda responsabilidade legal de qualquer natureza, direta ou indiretamente causados por resultantes de, ou para os quais tenham contribuído radiações ionizantes ou de contaminações pela radioatividade de qualquer combustível nuclear ou de qualquer resíduo nuclear, resultante de combustão de material nuclear, inclusive por armas nucleares; n) recuperação de imóveis por danos decorrentes de uso e desgaste, relativos a revestimentos, instalações elétricas, instalações hidráulicas, pintura, esquadrias, vidros, ferragens e pisos; o) pagamento de aluguel/auxílio moradia em decorrência da desocupação do imóvel na eventualidade da ocorrência de reparos construtivos. </w:t>
      </w:r>
    </w:p>
    <w:p w14:paraId="4F5803B0" w14:textId="1B68D868"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b/>
          <w:bCs/>
          <w:sz w:val="24"/>
          <w:szCs w:val="24"/>
          <w:u w:val="single"/>
        </w:rPr>
        <w:t>3.24 VÍCIO CONSTRUTIVO 3.24.1 As construtoras são responsáveis pela recuperação de DFI caracterizados como vício de construção ou falha na elaboração/execução do projeto, observados os prazos previstos em lei, devendo o AF notificar imediatamente a construtora para proceder à recuperação do dano.</w:t>
      </w:r>
    </w:p>
    <w:p w14:paraId="1A008721" w14:textId="77777777" w:rsidR="006A71F7" w:rsidRPr="00DC4F88" w:rsidRDefault="006A71F7" w:rsidP="006A71F7">
      <w:pPr>
        <w:spacing w:before="200" w:after="200" w:line="240" w:lineRule="auto"/>
        <w:ind w:left="2268"/>
        <w:jc w:val="both"/>
        <w:rPr>
          <w:rFonts w:cs="Calibri"/>
          <w:b/>
          <w:bCs/>
          <w:sz w:val="24"/>
          <w:szCs w:val="24"/>
          <w:u w:val="single"/>
        </w:rPr>
      </w:pPr>
    </w:p>
    <w:p w14:paraId="21C0323E" w14:textId="77777777" w:rsidR="006A71F7" w:rsidRPr="00DC4F88" w:rsidRDefault="006A71F7" w:rsidP="006A71F7">
      <w:pPr>
        <w:spacing w:before="200" w:after="200" w:line="240" w:lineRule="auto"/>
        <w:ind w:left="2268"/>
        <w:jc w:val="both"/>
        <w:rPr>
          <w:rFonts w:cs="Calibri"/>
          <w:sz w:val="24"/>
          <w:szCs w:val="24"/>
        </w:rPr>
      </w:pPr>
      <w:r w:rsidRPr="00DC4F88">
        <w:rPr>
          <w:rFonts w:cs="Calibri"/>
          <w:sz w:val="24"/>
          <w:szCs w:val="24"/>
        </w:rPr>
        <w:t xml:space="preserve">3.24.2 No caso </w:t>
      </w:r>
      <w:proofErr w:type="gramStart"/>
      <w:r w:rsidRPr="00DC4F88">
        <w:rPr>
          <w:rFonts w:cs="Calibri"/>
          <w:sz w:val="24"/>
          <w:szCs w:val="24"/>
        </w:rPr>
        <w:t>da</w:t>
      </w:r>
      <w:proofErr w:type="gramEnd"/>
      <w:r w:rsidRPr="00DC4F88">
        <w:rPr>
          <w:rFonts w:cs="Calibri"/>
          <w:sz w:val="24"/>
          <w:szCs w:val="24"/>
        </w:rPr>
        <w:t xml:space="preserve"> construtora não promover a recuperação do dano, no prazo estabelecido pelo AF e sempre que o dano possa causar risco à vida ou à integridade do patrimônio, o FAR poderá assumir as despesas de recuperação. </w:t>
      </w:r>
    </w:p>
    <w:p w14:paraId="6A2A672D" w14:textId="77777777" w:rsidR="006A71F7" w:rsidRPr="00DC4F88" w:rsidRDefault="006A71F7" w:rsidP="006A71F7">
      <w:pPr>
        <w:spacing w:before="200" w:after="200" w:line="240" w:lineRule="auto"/>
        <w:ind w:left="2268"/>
        <w:jc w:val="both"/>
        <w:rPr>
          <w:rFonts w:cs="Calibri"/>
          <w:sz w:val="24"/>
          <w:szCs w:val="24"/>
        </w:rPr>
      </w:pPr>
    </w:p>
    <w:p w14:paraId="16821240" w14:textId="655432B6" w:rsidR="006A71F7" w:rsidRPr="00DC4F88" w:rsidRDefault="006A71F7" w:rsidP="006A71F7">
      <w:pPr>
        <w:spacing w:before="200" w:after="200" w:line="240" w:lineRule="auto"/>
        <w:ind w:left="2268"/>
        <w:jc w:val="both"/>
        <w:rPr>
          <w:rFonts w:cs="Calibri"/>
          <w:b/>
          <w:bCs/>
          <w:sz w:val="24"/>
          <w:szCs w:val="24"/>
          <w:u w:val="single"/>
        </w:rPr>
      </w:pPr>
      <w:r w:rsidRPr="00DC4F88">
        <w:rPr>
          <w:rFonts w:cs="Calibri"/>
          <w:sz w:val="24"/>
          <w:szCs w:val="24"/>
        </w:rPr>
        <w:t>3.24.3 Previamente à contratação dos serviços de recuperação dos imóveis, o AF deverá: a) diligenciar produção de prova técnica que fundamente o ajuizamento de ação para ressarcimento das despesas a serem incorridas pelo FAR; b) enviar documentação à área jurídica com vistas ao ajuizamento de ação contra a empresa, sócios, controladores, dirigentes e responsáveis técnicos e que o prazo de envio da documentação à unidade jurídica não ultrapasse 90 dias contados da constatação dos vícios construtivos.</w:t>
      </w:r>
    </w:p>
    <w:p w14:paraId="511472BA" w14:textId="77777777" w:rsidR="006A71F7" w:rsidRPr="00DC4F88" w:rsidRDefault="006A71F7" w:rsidP="007B689A">
      <w:pPr>
        <w:spacing w:before="200" w:after="200" w:line="240" w:lineRule="auto"/>
        <w:rPr>
          <w:rFonts w:cs="Calibri"/>
          <w:b/>
          <w:bCs/>
          <w:sz w:val="24"/>
          <w:szCs w:val="24"/>
          <w:u w:val="single"/>
        </w:rPr>
      </w:pPr>
    </w:p>
    <w:p w14:paraId="55C8AB78" w14:textId="77777777" w:rsidR="006A71F7" w:rsidRPr="00DC4F88" w:rsidRDefault="006A71F7" w:rsidP="007B689A">
      <w:pPr>
        <w:spacing w:before="200" w:after="200" w:line="240" w:lineRule="auto"/>
        <w:rPr>
          <w:rFonts w:cs="Calibri"/>
          <w:b/>
          <w:bCs/>
          <w:sz w:val="24"/>
          <w:szCs w:val="24"/>
          <w:u w:val="single"/>
        </w:rPr>
      </w:pPr>
    </w:p>
    <w:p w14:paraId="02A90DB7"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 reclamações referentes a danos físicos em imóveis do PMCMV Faixa I – Recursos FAR direcionadas à CAIXA, independentemente do canal, devem ser encaminhadas para tratamento pela GIHAB de vinculação do contrato, uma vez que, a partir de 10/05/2013, a análise de concessão das garantias de DFI passou a ser de responsabilidade exclusiva do Agente Executor do programa. </w:t>
      </w:r>
    </w:p>
    <w:p w14:paraId="080605E9"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Importa esclarecer que não é de responsabilidade do FAR assumir despesas por danos físicos oriundos de vício construtivo ou falha na elaboração/execução do projeto. A ocorrência em comento é de responsabilidade das construtoras e compete ao agente financeiro notificá-las imediatamente para proceder à recuperação do dano, observados os prazos previstos em lei. </w:t>
      </w:r>
    </w:p>
    <w:p w14:paraId="084232A9"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O FAR é um Fundo e não um “seguro” em sentido estrito, como sua descrição assim o define: Fundo de Arrendamento Residencial, o qual objetiva tornar acessível as aquisições de moradia própria no âmbito do PMCMV Faixa I, bem como prestar garantias de DFI – Danos Físicos no Imóvel e de MIP – Morte e Invalidez Permanente para as operações contratadas no programa em questão. </w:t>
      </w:r>
    </w:p>
    <w:p w14:paraId="712A721B"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 garantias prestadas pelo Fundo encontram-se dispostas no Artigo 3.22 do MNPO - Manual de Normas e Procedimentos Operacionais do FAR, bem como nas cláusulas do contrato de parcelamento celebrado com os beneficiários. </w:t>
      </w:r>
    </w:p>
    <w:p w14:paraId="16A900EA" w14:textId="77777777" w:rsidR="007E122F" w:rsidRPr="00DC4F88" w:rsidRDefault="007E122F" w:rsidP="00966369">
      <w:pPr>
        <w:spacing w:before="200" w:after="200" w:line="240" w:lineRule="auto"/>
        <w:jc w:val="center"/>
        <w:rPr>
          <w:rFonts w:cs="Calibri"/>
          <w:sz w:val="24"/>
          <w:szCs w:val="24"/>
        </w:rPr>
      </w:pPr>
    </w:p>
    <w:p w14:paraId="0E3FC8EB" w14:textId="77777777" w:rsidR="00966369" w:rsidRPr="00DC4F88" w:rsidRDefault="00966369" w:rsidP="00966369">
      <w:pPr>
        <w:spacing w:before="200" w:after="200" w:line="240" w:lineRule="auto"/>
        <w:jc w:val="center"/>
        <w:rPr>
          <w:rFonts w:cs="Calibri"/>
          <w:b/>
          <w:bCs/>
          <w:sz w:val="24"/>
          <w:szCs w:val="24"/>
          <w:u w:val="single"/>
        </w:rPr>
      </w:pPr>
      <w:r w:rsidRPr="00DC4F88">
        <w:rPr>
          <w:rFonts w:cs="Calibri"/>
          <w:b/>
          <w:bCs/>
          <w:sz w:val="24"/>
          <w:szCs w:val="24"/>
          <w:u w:val="single"/>
        </w:rPr>
        <w:t>DA CULPA EXCLUSIVA DE TERCEIROS</w:t>
      </w:r>
    </w:p>
    <w:p w14:paraId="164CC92C" w14:textId="78F8C12E" w:rsidR="00966369" w:rsidRDefault="00966369" w:rsidP="00DC4F88">
      <w:pPr>
        <w:spacing w:before="200" w:after="200" w:line="240" w:lineRule="auto"/>
        <w:ind w:firstLine="567"/>
        <w:jc w:val="both"/>
        <w:rPr>
          <w:rFonts w:cs="Calibri"/>
          <w:sz w:val="24"/>
          <w:szCs w:val="24"/>
        </w:rPr>
      </w:pPr>
      <w:r w:rsidRPr="00DC4F88">
        <w:rPr>
          <w:rFonts w:cs="Calibri"/>
          <w:sz w:val="24"/>
          <w:szCs w:val="24"/>
        </w:rPr>
        <w:t>Reforça-se que não se desincumbiu a própria parte autora da manutenção necessária do imóvel, inclusive contratualmente imposta.</w:t>
      </w:r>
    </w:p>
    <w:p w14:paraId="2DE26C18" w14:textId="0BFEE341" w:rsidR="00616B5B" w:rsidRPr="00DC4F88" w:rsidRDefault="00616B5B" w:rsidP="00DC4F88">
      <w:pPr>
        <w:spacing w:before="200" w:after="200" w:line="240" w:lineRule="auto"/>
        <w:ind w:firstLine="567"/>
        <w:jc w:val="both"/>
        <w:rPr>
          <w:rFonts w:cs="Calibri"/>
          <w:sz w:val="24"/>
          <w:szCs w:val="24"/>
        </w:rPr>
      </w:pPr>
      <w:r w:rsidRPr="00616B5B">
        <w:rPr>
          <w:rFonts w:cs="Calibri"/>
          <w:sz w:val="24"/>
          <w:szCs w:val="24"/>
        </w:rPr>
        <w:t>Se o autor e o construtor não foram diligentes em suas escolhas e procedimentos, não podem agora querer transferir suas responsabilidades únicas a quem simplesmente lhes emprestou dinheiro; não podem querer transferir a terceiros a sua própria negligência.</w:t>
      </w:r>
    </w:p>
    <w:p w14:paraId="7902A440" w14:textId="21D91221" w:rsidR="00966369" w:rsidRPr="00DC4F88" w:rsidRDefault="00966369" w:rsidP="00DC4F88">
      <w:pPr>
        <w:spacing w:before="200" w:after="200" w:line="240" w:lineRule="auto"/>
        <w:ind w:firstLine="567"/>
        <w:jc w:val="both"/>
        <w:rPr>
          <w:rFonts w:cs="Calibri"/>
          <w:iCs/>
          <w:sz w:val="24"/>
          <w:szCs w:val="24"/>
          <w:lang w:val="pt-PT"/>
        </w:rPr>
      </w:pPr>
      <w:r w:rsidRPr="00DC4F88">
        <w:rPr>
          <w:rFonts w:cs="Calibri"/>
          <w:iCs/>
          <w:sz w:val="24"/>
          <w:szCs w:val="24"/>
          <w:lang w:val="pt-PT"/>
        </w:rPr>
        <w:t xml:space="preserve">Destaca-se que </w:t>
      </w:r>
      <w:r w:rsidR="006B7F84" w:rsidRPr="00DC4F88">
        <w:rPr>
          <w:rFonts w:cs="Calibri"/>
          <w:iCs/>
          <w:sz w:val="24"/>
          <w:szCs w:val="24"/>
          <w:lang w:val="pt-PT"/>
        </w:rPr>
        <w:t>o</w:t>
      </w:r>
      <w:r w:rsidRPr="00DC4F88">
        <w:rPr>
          <w:rFonts w:cs="Calibri"/>
          <w:iCs/>
          <w:sz w:val="24"/>
          <w:szCs w:val="24"/>
          <w:lang w:val="pt-PT"/>
        </w:rPr>
        <w:t xml:space="preserve"> própri</w:t>
      </w:r>
      <w:r w:rsidR="006B7F84" w:rsidRPr="00DC4F88">
        <w:rPr>
          <w:rFonts w:cs="Calibri"/>
          <w:iCs/>
          <w:sz w:val="24"/>
          <w:szCs w:val="24"/>
          <w:lang w:val="pt-PT"/>
        </w:rPr>
        <w:t>o</w:t>
      </w:r>
      <w:r w:rsidRPr="00DC4F88">
        <w:rPr>
          <w:rFonts w:cs="Calibri"/>
          <w:iCs/>
          <w:sz w:val="24"/>
          <w:szCs w:val="24"/>
          <w:lang w:val="pt-PT"/>
        </w:rPr>
        <w:t xml:space="preserve"> </w:t>
      </w:r>
      <w:r w:rsidR="006B7F84" w:rsidRPr="00DC4F88">
        <w:rPr>
          <w:rFonts w:cs="Calibri"/>
          <w:iCs/>
          <w:sz w:val="24"/>
          <w:szCs w:val="24"/>
          <w:lang w:val="pt-PT"/>
        </w:rPr>
        <w:t>contrato celebrado entre as partes (onde a CAIXA figura como mero AGENTE FINANCEIRO)</w:t>
      </w:r>
      <w:r w:rsidRPr="00DC4F88">
        <w:rPr>
          <w:rFonts w:cs="Calibri"/>
          <w:iCs/>
          <w:sz w:val="24"/>
          <w:szCs w:val="24"/>
          <w:lang w:val="pt-PT"/>
        </w:rPr>
        <w:t xml:space="preserve"> já reconhece a </w:t>
      </w:r>
      <w:r w:rsidR="006B7F84" w:rsidRPr="00DC4F88">
        <w:rPr>
          <w:rFonts w:cs="Calibri"/>
          <w:iCs/>
          <w:sz w:val="24"/>
          <w:szCs w:val="24"/>
          <w:lang w:val="pt-PT"/>
        </w:rPr>
        <w:t>obrigação da parte autora em zelar pelo bem adquirido pelo benefício social</w:t>
      </w:r>
      <w:r w:rsidRPr="00DC4F88">
        <w:rPr>
          <w:rFonts w:cs="Calibri"/>
          <w:iCs/>
          <w:sz w:val="24"/>
          <w:szCs w:val="24"/>
          <w:lang w:val="pt-PT"/>
        </w:rPr>
        <w:t>,</w:t>
      </w:r>
      <w:r w:rsidR="006B7F84" w:rsidRPr="00DC4F88">
        <w:rPr>
          <w:rFonts w:cs="Calibri"/>
          <w:iCs/>
          <w:sz w:val="24"/>
          <w:szCs w:val="24"/>
          <w:lang w:val="pt-PT"/>
        </w:rPr>
        <w:t xml:space="preserve"> inclusive com manutenções periódicas, sem as quais</w:t>
      </w:r>
      <w:r w:rsidRPr="00DC4F88">
        <w:rPr>
          <w:rFonts w:cs="Calibri"/>
          <w:iCs/>
          <w:sz w:val="24"/>
          <w:szCs w:val="24"/>
          <w:lang w:val="pt-PT"/>
        </w:rPr>
        <w:t xml:space="preserve"> pode</w:t>
      </w:r>
      <w:r w:rsidR="006B7F84" w:rsidRPr="00DC4F88">
        <w:rPr>
          <w:rFonts w:cs="Calibri"/>
          <w:iCs/>
          <w:sz w:val="24"/>
          <w:szCs w:val="24"/>
          <w:lang w:val="pt-PT"/>
        </w:rPr>
        <w:t xml:space="preserve"> </w:t>
      </w:r>
      <w:r w:rsidRPr="00DC4F88">
        <w:rPr>
          <w:rFonts w:cs="Calibri"/>
          <w:iCs/>
          <w:sz w:val="24"/>
          <w:szCs w:val="24"/>
          <w:lang w:val="pt-PT"/>
        </w:rPr>
        <w:t>ocorrer</w:t>
      </w:r>
      <w:r w:rsidR="006B7F84" w:rsidRPr="00DC4F88">
        <w:rPr>
          <w:rFonts w:cs="Calibri"/>
          <w:iCs/>
          <w:sz w:val="24"/>
          <w:szCs w:val="24"/>
          <w:lang w:val="pt-PT"/>
        </w:rPr>
        <w:t xml:space="preserve"> a deterioração abreviada do imóvel.</w:t>
      </w:r>
    </w:p>
    <w:p w14:paraId="04CFE7D2" w14:textId="1735F4C6" w:rsidR="00966369" w:rsidRPr="00DC4F88" w:rsidRDefault="00966369" w:rsidP="00DC4F88">
      <w:pPr>
        <w:spacing w:before="200" w:after="200" w:line="240" w:lineRule="auto"/>
        <w:ind w:firstLine="567"/>
        <w:jc w:val="both"/>
        <w:rPr>
          <w:rFonts w:cs="Calibri"/>
          <w:iCs/>
          <w:sz w:val="24"/>
          <w:szCs w:val="24"/>
          <w:lang w:val="pt-PT"/>
        </w:rPr>
      </w:pPr>
      <w:r w:rsidRPr="00DC4F88">
        <w:rPr>
          <w:rFonts w:cs="Calibri"/>
          <w:iCs/>
          <w:sz w:val="24"/>
          <w:szCs w:val="24"/>
          <w:lang w:val="pt-PT"/>
        </w:rPr>
        <w:t xml:space="preserve">Não se deve olvidar que muitos fatores alheios à suposta “responsabilidade” por vício de construção podem ter acarretado a alegada (e não provada), como a falta de zelo do imóvel, bem como </w:t>
      </w:r>
      <w:r w:rsidRPr="00DC4F88">
        <w:rPr>
          <w:rFonts w:cs="Calibri"/>
          <w:iCs/>
          <w:sz w:val="24"/>
          <w:szCs w:val="24"/>
          <w:lang w:val="pt-PT"/>
        </w:rPr>
        <w:lastRenderedPageBreak/>
        <w:t>o desgaste natural como ocorre com qualquer bem, cuja utilização já</w:t>
      </w:r>
      <w:r w:rsidR="00DC4F88">
        <w:rPr>
          <w:rFonts w:cs="Calibri"/>
          <w:iCs/>
          <w:sz w:val="24"/>
          <w:szCs w:val="24"/>
          <w:lang w:val="pt-PT"/>
        </w:rPr>
        <w:t xml:space="preserve"> quase</w:t>
      </w:r>
      <w:r w:rsidRPr="00DC4F88">
        <w:rPr>
          <w:rFonts w:cs="Calibri"/>
          <w:iCs/>
          <w:sz w:val="24"/>
          <w:szCs w:val="24"/>
          <w:lang w:val="pt-PT"/>
        </w:rPr>
        <w:t xml:space="preserve"> </w:t>
      </w:r>
      <w:r w:rsidR="003716FD">
        <w:rPr>
          <w:rFonts w:cs="Calibri"/>
          <w:iCs/>
          <w:sz w:val="24"/>
          <w:szCs w:val="24"/>
          <w:lang w:val="pt-PT"/>
        </w:rPr>
        <w:t>mais de 06</w:t>
      </w:r>
      <w:r w:rsidRPr="00DC4F88">
        <w:rPr>
          <w:rFonts w:cs="Calibri"/>
          <w:iCs/>
          <w:sz w:val="24"/>
          <w:szCs w:val="24"/>
          <w:lang w:val="pt-PT"/>
        </w:rPr>
        <w:t xml:space="preserve"> anos</w:t>
      </w:r>
      <w:r w:rsidR="006B7F84" w:rsidRPr="00DC4F88">
        <w:rPr>
          <w:rFonts w:cs="Calibri"/>
          <w:iCs/>
          <w:sz w:val="24"/>
          <w:szCs w:val="24"/>
          <w:lang w:val="pt-PT"/>
        </w:rPr>
        <w:t xml:space="preserve"> (Habite-se expedido em </w:t>
      </w:r>
      <w:r w:rsidR="003716FD">
        <w:rPr>
          <w:rFonts w:cs="Calibri"/>
          <w:iCs/>
          <w:sz w:val="24"/>
          <w:szCs w:val="24"/>
          <w:lang w:val="pt-PT"/>
        </w:rPr>
        <w:t>22</w:t>
      </w:r>
      <w:r w:rsidR="006B7F84" w:rsidRPr="00DC4F88">
        <w:rPr>
          <w:rFonts w:cs="Calibri"/>
          <w:iCs/>
          <w:sz w:val="24"/>
          <w:szCs w:val="24"/>
          <w:lang w:val="pt-PT"/>
        </w:rPr>
        <w:t>/</w:t>
      </w:r>
      <w:r w:rsidR="003716FD">
        <w:rPr>
          <w:rFonts w:cs="Calibri"/>
          <w:iCs/>
          <w:sz w:val="24"/>
          <w:szCs w:val="24"/>
          <w:lang w:val="pt-PT"/>
        </w:rPr>
        <w:t>03</w:t>
      </w:r>
      <w:r w:rsidR="006B7F84" w:rsidRPr="00DC4F88">
        <w:rPr>
          <w:rFonts w:cs="Calibri"/>
          <w:iCs/>
          <w:sz w:val="24"/>
          <w:szCs w:val="24"/>
          <w:lang w:val="pt-PT"/>
        </w:rPr>
        <w:t>/201</w:t>
      </w:r>
      <w:r w:rsidR="003716FD">
        <w:rPr>
          <w:rFonts w:cs="Calibri"/>
          <w:iCs/>
          <w:sz w:val="24"/>
          <w:szCs w:val="24"/>
          <w:lang w:val="pt-PT"/>
        </w:rPr>
        <w:t>7</w:t>
      </w:r>
      <w:r w:rsidR="006B7F84" w:rsidRPr="00DC4F88">
        <w:rPr>
          <w:rFonts w:cs="Calibri"/>
          <w:iCs/>
          <w:sz w:val="24"/>
          <w:szCs w:val="24"/>
          <w:lang w:val="pt-PT"/>
        </w:rPr>
        <w:t>), sendo crível que a deterioração, caso não adotadas as medidas preventivas e de manutenção necessárias, indiscutivelmente de RESPONSABILIDADE DA PARTE AUTORA.</w:t>
      </w:r>
    </w:p>
    <w:p w14:paraId="0D0769F9" w14:textId="57300736" w:rsidR="00860310" w:rsidRDefault="00966369" w:rsidP="00860310">
      <w:pPr>
        <w:spacing w:before="200" w:after="200" w:line="240" w:lineRule="auto"/>
        <w:ind w:firstLine="567"/>
        <w:jc w:val="both"/>
        <w:rPr>
          <w:rFonts w:cs="Calibri"/>
          <w:sz w:val="24"/>
          <w:szCs w:val="24"/>
          <w:lang w:val="en-US"/>
        </w:rPr>
      </w:pPr>
      <w:r w:rsidRPr="00DC4F88">
        <w:rPr>
          <w:rFonts w:cs="Calibri"/>
          <w:sz w:val="24"/>
          <w:szCs w:val="24"/>
        </w:rPr>
        <w:t>Portanto, tendo restado clara a responsabilidade exclusiva da própria parte autora, ao passo que não se desincumbiu das obrigações que lhe cabiam e, agora, busca aproveitar-se da própria torpeza, espera-se seja julgada IMPROCEDENTE por todos os motivos expostos.</w:t>
      </w:r>
    </w:p>
    <w:p w14:paraId="75C88944" w14:textId="77777777" w:rsidR="00860310" w:rsidRDefault="00860310" w:rsidP="00860310">
      <w:pPr>
        <w:spacing w:before="200" w:after="200" w:line="240" w:lineRule="auto"/>
        <w:jc w:val="center"/>
        <w:rPr>
          <w:rFonts w:cs="Calibri"/>
          <w:b/>
          <w:bCs/>
          <w:sz w:val="24"/>
          <w:szCs w:val="24"/>
          <w:u w:val="single"/>
        </w:rPr>
      </w:pPr>
    </w:p>
    <w:p w14:paraId="51C10EC6" w14:textId="15079D38" w:rsidR="00860310" w:rsidRPr="00DC4F88" w:rsidRDefault="00860310" w:rsidP="00860310">
      <w:pPr>
        <w:spacing w:before="200" w:after="200" w:line="240" w:lineRule="auto"/>
        <w:jc w:val="center"/>
        <w:rPr>
          <w:rFonts w:cs="Calibri"/>
          <w:b/>
          <w:bCs/>
          <w:sz w:val="24"/>
          <w:szCs w:val="24"/>
          <w:u w:val="single"/>
        </w:rPr>
      </w:pPr>
      <w:r w:rsidRPr="00DC4F88">
        <w:rPr>
          <w:rFonts w:cs="Calibri"/>
          <w:b/>
          <w:bCs/>
          <w:sz w:val="24"/>
          <w:szCs w:val="24"/>
          <w:u w:val="single"/>
        </w:rPr>
        <w:t xml:space="preserve">DA </w:t>
      </w:r>
      <w:r>
        <w:rPr>
          <w:rFonts w:cs="Calibri"/>
          <w:b/>
          <w:bCs/>
          <w:sz w:val="24"/>
          <w:szCs w:val="24"/>
          <w:u w:val="single"/>
        </w:rPr>
        <w:t>IMPUGNAÇÃO AO LAUDO APRESENTADO NOS AUTOS</w:t>
      </w:r>
    </w:p>
    <w:p w14:paraId="0D81E4A9" w14:textId="77777777" w:rsidR="00860310" w:rsidRDefault="00860310" w:rsidP="00860310">
      <w:pPr>
        <w:spacing w:before="200" w:after="200" w:line="240" w:lineRule="auto"/>
        <w:ind w:firstLine="567"/>
        <w:jc w:val="both"/>
        <w:rPr>
          <w:rFonts w:cs="Calibri"/>
          <w:sz w:val="24"/>
          <w:szCs w:val="24"/>
          <w:lang w:val="en-US"/>
        </w:rPr>
      </w:pPr>
    </w:p>
    <w:p w14:paraId="54B5A000" w14:textId="7CEF3C83" w:rsidR="00860310" w:rsidRDefault="00860310" w:rsidP="00860310">
      <w:pPr>
        <w:spacing w:before="200" w:after="200" w:line="240" w:lineRule="auto"/>
        <w:ind w:firstLine="567"/>
        <w:jc w:val="both"/>
      </w:pPr>
      <w:r>
        <w:t>Não consta no Laudo o nº de ART, necessária para que seja verificado o cadastramento da responsabilidade pela peça técnica junto ao CREA -RS. Lembramos que a NBR 13.752 – (Perícias de Engenharia na Construção Civil) prevê que as perícias de engenharia na construção civil devem ser acompanhadas de ART (Anotação de Responsabilidade Técnica), conforme estabelece a Lei Federal 6.496/77. A Lei 6.496/77 prevê em seu artigo 1° que Todo contrato, escrito ou verbal, para a execução de obras ou prestação de quaisquer serviços profissionais referentes à Engenharia, à Arquitetura e à Agronomia fica sujeito à "Anotação de Responsabilidade Técnica".</w:t>
      </w:r>
    </w:p>
    <w:p w14:paraId="5B9E01DE" w14:textId="77777777" w:rsidR="00860310" w:rsidRDefault="00860310" w:rsidP="00860310">
      <w:pPr>
        <w:spacing w:before="200" w:after="200" w:line="240" w:lineRule="auto"/>
        <w:ind w:firstLine="567"/>
        <w:jc w:val="both"/>
      </w:pPr>
    </w:p>
    <w:p w14:paraId="2C140E90" w14:textId="1165A698" w:rsidR="00860310" w:rsidRDefault="00860310" w:rsidP="00860310">
      <w:pPr>
        <w:spacing w:before="200" w:after="200" w:line="240" w:lineRule="auto"/>
        <w:ind w:firstLine="567"/>
        <w:jc w:val="both"/>
      </w:pPr>
      <w:r>
        <w:t>No orçamento observamos previsões de substituições de diversos itens como calçadas, instalações elétricas e de esgoto e pintura que já estão fora do prazo de garantia da Tabela do Programa de Olho na Qualidade (em anexo):</w:t>
      </w:r>
    </w:p>
    <w:p w14:paraId="784D3C8C" w14:textId="77777777" w:rsidR="00860310" w:rsidRDefault="00860310" w:rsidP="00860310">
      <w:pPr>
        <w:spacing w:before="200" w:after="200" w:line="240" w:lineRule="auto"/>
        <w:ind w:firstLine="567"/>
        <w:jc w:val="both"/>
      </w:pPr>
    </w:p>
    <w:p w14:paraId="168091EB" w14:textId="77777777" w:rsidR="00860310" w:rsidRDefault="00860310" w:rsidP="00860310">
      <w:pPr>
        <w:spacing w:before="200" w:after="200" w:line="240" w:lineRule="auto"/>
        <w:ind w:firstLine="567"/>
        <w:jc w:val="both"/>
      </w:pPr>
      <w:r>
        <w:t xml:space="preserve">Alvenaria estrutural = 5 anos </w:t>
      </w:r>
    </w:p>
    <w:p w14:paraId="5F9D76FE" w14:textId="77777777" w:rsidR="00860310" w:rsidRDefault="00860310" w:rsidP="00860310">
      <w:pPr>
        <w:spacing w:before="200" w:after="200" w:line="240" w:lineRule="auto"/>
        <w:ind w:firstLine="567"/>
        <w:jc w:val="both"/>
      </w:pPr>
      <w:r>
        <w:t xml:space="preserve">Alvenaria de vedação = 5 anos </w:t>
      </w:r>
    </w:p>
    <w:p w14:paraId="67DAF467" w14:textId="77777777" w:rsidR="00860310" w:rsidRDefault="00860310" w:rsidP="00860310">
      <w:pPr>
        <w:spacing w:before="200" w:after="200" w:line="240" w:lineRule="auto"/>
        <w:ind w:firstLine="567"/>
        <w:jc w:val="both"/>
      </w:pPr>
      <w:r>
        <w:t xml:space="preserve">Impermeabilização = 5 anos </w:t>
      </w:r>
    </w:p>
    <w:p w14:paraId="68EF78B8" w14:textId="77777777" w:rsidR="00860310" w:rsidRDefault="00860310" w:rsidP="00860310">
      <w:pPr>
        <w:spacing w:before="200" w:after="200" w:line="240" w:lineRule="auto"/>
        <w:ind w:firstLine="567"/>
        <w:jc w:val="both"/>
      </w:pPr>
      <w:r>
        <w:t xml:space="preserve">Esquadrias de alumínio vedação = 2 anos </w:t>
      </w:r>
    </w:p>
    <w:p w14:paraId="31981272" w14:textId="77777777" w:rsidR="00860310" w:rsidRDefault="00860310" w:rsidP="00860310">
      <w:pPr>
        <w:spacing w:before="200" w:after="200" w:line="240" w:lineRule="auto"/>
        <w:ind w:firstLine="567"/>
        <w:jc w:val="both"/>
      </w:pPr>
      <w:r>
        <w:t xml:space="preserve">Piso cerâmico = 2 anos </w:t>
      </w:r>
    </w:p>
    <w:p w14:paraId="06690F19" w14:textId="77777777" w:rsidR="00860310" w:rsidRDefault="00860310" w:rsidP="00860310">
      <w:pPr>
        <w:spacing w:before="200" w:after="200" w:line="240" w:lineRule="auto"/>
        <w:ind w:firstLine="567"/>
        <w:jc w:val="both"/>
      </w:pPr>
      <w:r>
        <w:t xml:space="preserve">Revestimentos de azulejos = 2 anos </w:t>
      </w:r>
    </w:p>
    <w:p w14:paraId="27F9AEC1" w14:textId="77777777" w:rsidR="00860310" w:rsidRDefault="00860310" w:rsidP="00860310">
      <w:pPr>
        <w:spacing w:before="200" w:after="200" w:line="240" w:lineRule="auto"/>
        <w:ind w:firstLine="567"/>
        <w:jc w:val="both"/>
      </w:pPr>
      <w:r>
        <w:t xml:space="preserve">Revestimento de argamassas – estanqueidade = 3 anos </w:t>
      </w:r>
    </w:p>
    <w:p w14:paraId="37357026" w14:textId="77777777" w:rsidR="00860310" w:rsidRDefault="00860310" w:rsidP="00860310">
      <w:pPr>
        <w:spacing w:before="200" w:after="200" w:line="240" w:lineRule="auto"/>
        <w:ind w:firstLine="567"/>
        <w:jc w:val="both"/>
      </w:pPr>
      <w:r>
        <w:t xml:space="preserve">Instalações elétricas = 3 anos </w:t>
      </w:r>
    </w:p>
    <w:p w14:paraId="0E489932" w14:textId="77777777" w:rsidR="00860310" w:rsidRDefault="00860310" w:rsidP="00860310">
      <w:pPr>
        <w:spacing w:before="200" w:after="200" w:line="240" w:lineRule="auto"/>
        <w:ind w:firstLine="567"/>
        <w:jc w:val="both"/>
      </w:pPr>
      <w:r>
        <w:t xml:space="preserve">Instalações hidráulicas = 3 anos </w:t>
      </w:r>
    </w:p>
    <w:p w14:paraId="6699C00D" w14:textId="77777777" w:rsidR="00860310" w:rsidRDefault="00860310" w:rsidP="00860310">
      <w:pPr>
        <w:spacing w:before="200" w:after="200" w:line="240" w:lineRule="auto"/>
        <w:ind w:firstLine="567"/>
        <w:jc w:val="both"/>
      </w:pPr>
      <w:r>
        <w:t xml:space="preserve">Instalações de esgoto = 3 anos </w:t>
      </w:r>
    </w:p>
    <w:p w14:paraId="3E9F6DBC" w14:textId="1229BF3A" w:rsidR="00860310" w:rsidRDefault="00860310" w:rsidP="00860310">
      <w:pPr>
        <w:spacing w:before="200" w:after="200" w:line="240" w:lineRule="auto"/>
        <w:ind w:firstLine="567"/>
        <w:jc w:val="both"/>
      </w:pPr>
      <w:r>
        <w:t>Pintura de paredes = 2 anos</w:t>
      </w:r>
    </w:p>
    <w:p w14:paraId="76D738BA" w14:textId="77777777" w:rsidR="00860310" w:rsidRDefault="00860310" w:rsidP="00860310">
      <w:pPr>
        <w:spacing w:before="200" w:after="200" w:line="240" w:lineRule="auto"/>
        <w:ind w:firstLine="567"/>
        <w:jc w:val="both"/>
      </w:pPr>
    </w:p>
    <w:p w14:paraId="03D56B19" w14:textId="7E9CC83D" w:rsidR="00860310" w:rsidRDefault="00860310" w:rsidP="00860310">
      <w:pPr>
        <w:spacing w:before="200" w:after="200" w:line="240" w:lineRule="auto"/>
        <w:ind w:firstLine="567"/>
        <w:jc w:val="both"/>
      </w:pPr>
      <w:r>
        <w:tab/>
      </w:r>
      <w:r>
        <w:t>Além disso, diversos itens do orçamento, com valores vultosos, são meras previsões de levantamentos ou mesmo verbas arbitradas baseadas em vagas hipóteses da Assistente Técnica da Parte, que não possuem nenhuma comprovação, descrição acurada dos danos, demonstrando a extensão e indícios que sejam decorrentes de vícios construtivos, e menos ainda levantamentos de quantitativos e referências de preços que fundamentem os valores. Dessa forma, está em completo desacordo com as técnicas de orçamentação, se mostra totalmente descompromissado com a realidade do empreendimento e leviano ao imputar prejuízos às partes requeridas.</w:t>
      </w:r>
    </w:p>
    <w:p w14:paraId="32964C69" w14:textId="77777777" w:rsidR="00860310" w:rsidRDefault="00860310" w:rsidP="00860310">
      <w:pPr>
        <w:spacing w:before="200" w:after="200" w:line="240" w:lineRule="auto"/>
        <w:ind w:firstLine="567"/>
        <w:jc w:val="both"/>
      </w:pPr>
    </w:p>
    <w:p w14:paraId="12BF7A05" w14:textId="77777777" w:rsidR="00860310" w:rsidRDefault="00860310" w:rsidP="00860310">
      <w:pPr>
        <w:spacing w:before="200" w:after="200" w:line="240" w:lineRule="auto"/>
        <w:ind w:firstLine="567"/>
        <w:jc w:val="both"/>
      </w:pPr>
    </w:p>
    <w:p w14:paraId="080B7037" w14:textId="77777777" w:rsidR="00860310" w:rsidRDefault="00860310" w:rsidP="00860310">
      <w:pPr>
        <w:spacing w:before="200" w:after="200" w:line="240" w:lineRule="auto"/>
        <w:ind w:firstLine="567"/>
        <w:jc w:val="both"/>
      </w:pPr>
    </w:p>
    <w:p w14:paraId="632D3484" w14:textId="77777777" w:rsidR="00860310" w:rsidRDefault="00860310" w:rsidP="00860310">
      <w:pPr>
        <w:spacing w:before="200" w:after="200" w:line="240" w:lineRule="auto"/>
        <w:ind w:firstLine="567"/>
        <w:jc w:val="both"/>
      </w:pPr>
    </w:p>
    <w:p w14:paraId="58F2C13A" w14:textId="77777777" w:rsidR="00860310" w:rsidRDefault="00860310" w:rsidP="00860310">
      <w:pPr>
        <w:spacing w:before="200" w:after="200" w:line="240" w:lineRule="auto"/>
        <w:ind w:firstLine="567"/>
        <w:jc w:val="both"/>
      </w:pPr>
    </w:p>
    <w:p w14:paraId="32C36540" w14:textId="7DF4B018" w:rsidR="00860310" w:rsidRPr="00860310" w:rsidRDefault="00860310" w:rsidP="00860310">
      <w:pPr>
        <w:spacing w:before="200" w:after="200" w:line="240" w:lineRule="auto"/>
        <w:ind w:firstLine="567"/>
        <w:jc w:val="both"/>
        <w:rPr>
          <w:rFonts w:cs="Calibri"/>
          <w:sz w:val="24"/>
          <w:szCs w:val="24"/>
          <w:lang w:val="en-US"/>
        </w:rPr>
      </w:pPr>
      <w:r w:rsidRPr="00860310">
        <w:rPr>
          <w:rFonts w:cs="Calibri"/>
          <w:sz w:val="24"/>
          <w:szCs w:val="24"/>
          <w:lang w:val="en-US"/>
        </w:rPr>
        <w:drawing>
          <wp:inline distT="0" distB="0" distL="0" distR="0" wp14:anchorId="2F14810E" wp14:editId="554F561B">
            <wp:extent cx="6391275" cy="4808220"/>
            <wp:effectExtent l="0" t="0" r="9525" b="0"/>
            <wp:docPr id="398983111" name="Imagem 1" descr="Tab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983111" name="Imagem 1" descr="Tabela&#10;&#10;Descrição gerada automaticamente"/>
                    <pic:cNvPicPr/>
                  </pic:nvPicPr>
                  <pic:blipFill>
                    <a:blip r:embed="rId9"/>
                    <a:stretch>
                      <a:fillRect/>
                    </a:stretch>
                  </pic:blipFill>
                  <pic:spPr>
                    <a:xfrm>
                      <a:off x="0" y="0"/>
                      <a:ext cx="6391275" cy="4808220"/>
                    </a:xfrm>
                    <a:prstGeom prst="rect">
                      <a:avLst/>
                    </a:prstGeom>
                  </pic:spPr>
                </pic:pic>
              </a:graphicData>
            </a:graphic>
          </wp:inline>
        </w:drawing>
      </w:r>
    </w:p>
    <w:p w14:paraId="3912807A" w14:textId="77777777" w:rsidR="00860310" w:rsidRDefault="00860310" w:rsidP="00860310">
      <w:pPr>
        <w:spacing w:before="200" w:after="200" w:line="240" w:lineRule="auto"/>
        <w:rPr>
          <w:rFonts w:cs="Calibri"/>
          <w:b/>
          <w:bCs/>
          <w:sz w:val="24"/>
          <w:szCs w:val="24"/>
          <w:u w:val="single"/>
        </w:rPr>
      </w:pPr>
    </w:p>
    <w:p w14:paraId="58E72EF7" w14:textId="65E2ACF2" w:rsidR="00860310" w:rsidRDefault="00860310" w:rsidP="00860310">
      <w:pPr>
        <w:spacing w:before="200" w:after="200" w:line="240" w:lineRule="auto"/>
        <w:ind w:firstLine="567"/>
        <w:jc w:val="both"/>
        <w:rPr>
          <w:rFonts w:cs="Calibri"/>
          <w:b/>
          <w:bCs/>
          <w:sz w:val="24"/>
          <w:szCs w:val="24"/>
          <w:u w:val="single"/>
        </w:rPr>
      </w:pPr>
      <w:r>
        <w:t>Alertamos que diversos itens do orçamento apresentado, de adequações na pavimentação e caixas de inspeções, referem-se a reparos nas áreas comuns/externas, do condomínio. Esses serviços elencados pela Assistente Técnica da Parte Contrária não têm vinculação com áreas privativas de unidades e seus respectivos proprietários.</w:t>
      </w:r>
    </w:p>
    <w:p w14:paraId="0E2E00FD" w14:textId="65275B8B" w:rsidR="00860310" w:rsidRDefault="00860310" w:rsidP="00860310">
      <w:pPr>
        <w:spacing w:before="200" w:after="200" w:line="240" w:lineRule="auto"/>
        <w:ind w:firstLine="567"/>
      </w:pPr>
      <w:r>
        <w:t>Frente ao que verificamos nas manifestações contidas no Laudo (classificado pela autora como Laudo Técnico) quanto à subjetividade e imprecisão sobre as hipóteses em causas e consequências, salientamos a diferença entre a peça apresentada e o que seria uma perícia que possui requisitos previstos na NBR 13.752 – Perícias de engenharia na construção civil:</w:t>
      </w:r>
    </w:p>
    <w:p w14:paraId="77040A01" w14:textId="77777777" w:rsidR="00860310" w:rsidRDefault="00860310" w:rsidP="00860310">
      <w:pPr>
        <w:spacing w:before="200" w:after="200" w:line="240" w:lineRule="auto"/>
      </w:pPr>
    </w:p>
    <w:p w14:paraId="33D8B505" w14:textId="7C5B8537" w:rsidR="00860310" w:rsidRDefault="00860310" w:rsidP="00860310">
      <w:pPr>
        <w:spacing w:before="200" w:after="200" w:line="240" w:lineRule="auto"/>
      </w:pPr>
      <w:r w:rsidRPr="00860310">
        <w:lastRenderedPageBreak/>
        <w:drawing>
          <wp:inline distT="0" distB="0" distL="0" distR="0" wp14:anchorId="5E128E95" wp14:editId="08F4D0DC">
            <wp:extent cx="4257675" cy="10001250"/>
            <wp:effectExtent l="0" t="0" r="9525" b="0"/>
            <wp:docPr id="517166911" name="Imagem 1"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166911" name="Imagem 1" descr="Texto, Carta&#10;&#10;Descrição gerada automaticamente"/>
                    <pic:cNvPicPr/>
                  </pic:nvPicPr>
                  <pic:blipFill>
                    <a:blip r:embed="rId10"/>
                    <a:stretch>
                      <a:fillRect/>
                    </a:stretch>
                  </pic:blipFill>
                  <pic:spPr>
                    <a:xfrm>
                      <a:off x="0" y="0"/>
                      <a:ext cx="4257675" cy="10001250"/>
                    </a:xfrm>
                    <a:prstGeom prst="rect">
                      <a:avLst/>
                    </a:prstGeom>
                  </pic:spPr>
                </pic:pic>
              </a:graphicData>
            </a:graphic>
          </wp:inline>
        </w:drawing>
      </w:r>
    </w:p>
    <w:p w14:paraId="2E6BF50C" w14:textId="77777777" w:rsidR="00860310" w:rsidRDefault="00860310" w:rsidP="00860310">
      <w:pPr>
        <w:spacing w:before="200" w:after="200" w:line="240" w:lineRule="auto"/>
      </w:pPr>
    </w:p>
    <w:p w14:paraId="08EF37E8" w14:textId="77777777" w:rsidR="00860310" w:rsidRDefault="00860310" w:rsidP="00860310">
      <w:pPr>
        <w:spacing w:before="200" w:after="200" w:line="240" w:lineRule="auto"/>
      </w:pPr>
    </w:p>
    <w:p w14:paraId="3807A7CA" w14:textId="7744F975" w:rsidR="00860310" w:rsidRDefault="00860310" w:rsidP="00860310">
      <w:pPr>
        <w:spacing w:before="200" w:after="200" w:line="240" w:lineRule="auto"/>
      </w:pPr>
      <w:r>
        <w:tab/>
        <w:t>Assim sendo, pela falta de aspecto técnico, seja pela imprecisão dos valores e prejuízos apresentados, bem como diante da inobservância das “Normas e Garantias”, que</w:t>
      </w:r>
      <w:r w:rsidRPr="00860310">
        <w:t xml:space="preserve"> </w:t>
      </w:r>
      <w:r>
        <w:t>preveem prazos de garantia distintos para os diversos itens de serviço que compõem a unidade habitacional</w:t>
      </w:r>
      <w:r>
        <w:t>, merece ser desconsiderado o documento apresentado junto à exordial.</w:t>
      </w:r>
    </w:p>
    <w:p w14:paraId="31F7B1B3" w14:textId="77777777" w:rsidR="00860310" w:rsidRDefault="00860310" w:rsidP="00860310">
      <w:pPr>
        <w:spacing w:before="200" w:after="200" w:line="240" w:lineRule="auto"/>
        <w:rPr>
          <w:rFonts w:cs="Calibri"/>
          <w:b/>
          <w:bCs/>
          <w:sz w:val="24"/>
          <w:szCs w:val="24"/>
          <w:u w:val="single"/>
        </w:rPr>
      </w:pPr>
    </w:p>
    <w:p w14:paraId="54F2A36E" w14:textId="64BCC65B" w:rsidR="006A71F7" w:rsidRPr="00DC4F88" w:rsidRDefault="006A71F7" w:rsidP="006A71F7">
      <w:pPr>
        <w:spacing w:before="200" w:after="200" w:line="240" w:lineRule="auto"/>
        <w:jc w:val="center"/>
        <w:rPr>
          <w:rFonts w:cs="Calibri"/>
          <w:b/>
          <w:bCs/>
          <w:sz w:val="24"/>
          <w:szCs w:val="24"/>
          <w:u w:val="single"/>
        </w:rPr>
      </w:pPr>
      <w:r w:rsidRPr="00DC4F88">
        <w:rPr>
          <w:rFonts w:cs="Calibri"/>
          <w:b/>
          <w:bCs/>
          <w:sz w:val="24"/>
          <w:szCs w:val="24"/>
          <w:u w:val="single"/>
        </w:rPr>
        <w:t>DA INOCORRÊNCIA DE DANOS MORAIS E MATERIAIS</w:t>
      </w:r>
    </w:p>
    <w:p w14:paraId="42BD3576" w14:textId="77777777" w:rsidR="006A71F7" w:rsidRPr="00DC4F88" w:rsidRDefault="006A71F7" w:rsidP="007B689A">
      <w:pPr>
        <w:spacing w:before="200" w:after="200" w:line="240" w:lineRule="auto"/>
        <w:rPr>
          <w:rFonts w:cs="Calibri"/>
          <w:b/>
          <w:bCs/>
          <w:sz w:val="24"/>
          <w:szCs w:val="24"/>
          <w:u w:val="single"/>
        </w:rPr>
      </w:pPr>
    </w:p>
    <w:p w14:paraId="70D20916"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No que se refere à indenização requerida pela parte autora, cabe salientar que inexiste nos autos qualquer prova acerca dos alegados danos, sejam eles de ordem moral ou material. </w:t>
      </w:r>
    </w:p>
    <w:p w14:paraId="362F6FD9"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 alegações de existência de vícios construtivos são genéricas. Frisa-se que a obra atende às especificações de projeto determinadas pelo Ministério das Cidades e não existem quaisquer problemas estruturais ou utilização de material construtivo de qualidade inferior. </w:t>
      </w:r>
    </w:p>
    <w:p w14:paraId="168213C6"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Ademais, como já salientado, é ao construtor de obra que cabe a responsabilidade pelos danos nela detectada, assim como pelas lesões consequentes, como no caso dos danos morais. </w:t>
      </w:r>
    </w:p>
    <w:p w14:paraId="257DAD0D"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De toda a sorte, para que seja verificada a ocorrência de dano moral são necessários o preenchimento de quatro requisitos fundamentais: (i) dano; (</w:t>
      </w:r>
      <w:proofErr w:type="spellStart"/>
      <w:r w:rsidRPr="00DC4F88">
        <w:rPr>
          <w:rFonts w:cs="Calibri"/>
          <w:sz w:val="24"/>
          <w:szCs w:val="24"/>
        </w:rPr>
        <w:t>ii</w:t>
      </w:r>
      <w:proofErr w:type="spellEnd"/>
      <w:r w:rsidRPr="00DC4F88">
        <w:rPr>
          <w:rFonts w:cs="Calibri"/>
          <w:sz w:val="24"/>
          <w:szCs w:val="24"/>
        </w:rPr>
        <w:t>) ação ou omissão, (</w:t>
      </w:r>
      <w:proofErr w:type="spellStart"/>
      <w:r w:rsidRPr="00DC4F88">
        <w:rPr>
          <w:rFonts w:cs="Calibri"/>
          <w:sz w:val="24"/>
          <w:szCs w:val="24"/>
        </w:rPr>
        <w:t>iii</w:t>
      </w:r>
      <w:proofErr w:type="spellEnd"/>
      <w:r w:rsidRPr="00DC4F88">
        <w:rPr>
          <w:rFonts w:cs="Calibri"/>
          <w:sz w:val="24"/>
          <w:szCs w:val="24"/>
        </w:rPr>
        <w:t>) culpa em sentido amplo e (</w:t>
      </w:r>
      <w:proofErr w:type="spellStart"/>
      <w:r w:rsidRPr="00DC4F88">
        <w:rPr>
          <w:rFonts w:cs="Calibri"/>
          <w:sz w:val="24"/>
          <w:szCs w:val="24"/>
        </w:rPr>
        <w:t>iv</w:t>
      </w:r>
      <w:proofErr w:type="spellEnd"/>
      <w:r w:rsidRPr="00DC4F88">
        <w:rPr>
          <w:rFonts w:cs="Calibri"/>
          <w:sz w:val="24"/>
          <w:szCs w:val="24"/>
        </w:rPr>
        <w:t xml:space="preserve">) nexo causal. Nesta senda, não houve qualquer ação ou omissão da CAIXA na construção do empreendimento, pois seguiu todos os trâmites e dispositivos legais. </w:t>
      </w:r>
    </w:p>
    <w:p w14:paraId="677938CF"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Além disso, o elemento subjetivo apto a gerar a responsabilização da CAIXA também não é detectável pelos termos da inicial. Não há nenhum relato na exordial a apontar que esta Empresa Pública atuou culposamente de forma a lesar a parte autora. </w:t>
      </w:r>
    </w:p>
    <w:p w14:paraId="05718035"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Ademais, para que se possa falar em dano moral, é preciso que a pessoa seja atingida em sua honra, sua reputação, sua personalidade, seu sentimento de dignidade, passe por dor, humilhação, constrangimentos, tenha os seus sentimentos violados. Simples aborrecimentos e chateações do dia a dia não podem ensejar indenização por danos morais, visto que fazem parte da vida cotidiana e não trazem maiores consequências ao indivíduo. </w:t>
      </w:r>
    </w:p>
    <w:p w14:paraId="15ABF3F1"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Como se sabe, o dano que importa em matéria de responsabilidade civil é aquele que constitui requisito de obrigação de indenizar. O prejuízo deve ser certo. É regra essencial da reparação. </w:t>
      </w:r>
    </w:p>
    <w:p w14:paraId="33D8CD21"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Ainda, o dano hipotético não constitui qualquer obrigação de indenizar. Muito menos um mero aborrecimento do </w:t>
      </w:r>
      <w:proofErr w:type="gramStart"/>
      <w:r w:rsidRPr="00DC4F88">
        <w:rPr>
          <w:rFonts w:cs="Calibri"/>
          <w:sz w:val="24"/>
          <w:szCs w:val="24"/>
        </w:rPr>
        <w:t>dia-a-dia</w:t>
      </w:r>
      <w:proofErr w:type="gramEnd"/>
      <w:r w:rsidRPr="00DC4F88">
        <w:rPr>
          <w:rFonts w:cs="Calibri"/>
          <w:sz w:val="24"/>
          <w:szCs w:val="24"/>
        </w:rPr>
        <w:t xml:space="preserve">. Se assim fosse, se a lei autorizasse que meros aborrecimentos fossem indenizáveis, acarretaria uma avalanche de ações no judiciário cujo objetivo seria tão somente o enriquecimento sem causa, alimentando ainda mais a “indústria do dano moral”. </w:t>
      </w:r>
    </w:p>
    <w:p w14:paraId="4B0CB98F"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t xml:space="preserve">Assim, não houve nenhum ato ilícito praticado pelo ora contestante. O ato ilícito pressupõe seja praticado em desacordo com a ordem jurídica, violando direito subjetivo individual. Tal não ocorreu. Para que se configure o ato ilícito previsto no art. 186 do Código Civil é imprescindível que haja fato lesivo voluntário, causado pelo agente, ocorrência de um dano patrimonial ou moral e nexo de causalidade entre o dano e o comportamento do agente. Portanto, em momento algum o Banco praticou qualquer ato ilícito, descabendo qualquer pedido de reparação por danos patrimoniais ou morais. </w:t>
      </w:r>
    </w:p>
    <w:p w14:paraId="67B22C6C" w14:textId="77777777" w:rsidR="006A71F7" w:rsidRPr="00DC4F88" w:rsidRDefault="006A71F7" w:rsidP="00DC4F88">
      <w:pPr>
        <w:spacing w:before="200" w:after="200" w:line="240" w:lineRule="auto"/>
        <w:ind w:firstLine="567"/>
        <w:jc w:val="both"/>
        <w:rPr>
          <w:rFonts w:cs="Calibri"/>
          <w:sz w:val="24"/>
          <w:szCs w:val="24"/>
        </w:rPr>
      </w:pPr>
      <w:r w:rsidRPr="00DC4F88">
        <w:rPr>
          <w:rFonts w:cs="Calibri"/>
          <w:sz w:val="24"/>
          <w:szCs w:val="24"/>
        </w:rPr>
        <w:lastRenderedPageBreak/>
        <w:t xml:space="preserve">O ato ilícito acarreta, na concepção de PONTES DE MIRANDA, “de si só e originariamente, o vínculo da obrigação”. Nele concorrem elementos objetivos e subjetivos. São requisitos da primeira categoria: o ato praticado de maneira ilícita, contra um direito; resultado danoso; a relação causal entre o ato e dano. São requisitos subjetivos: a imputabilidade do agente e que tenha este agido com culpa. </w:t>
      </w:r>
    </w:p>
    <w:p w14:paraId="16683099" w14:textId="3035CBAC" w:rsidR="006A71F7" w:rsidRPr="00DC4F88" w:rsidRDefault="006A71F7" w:rsidP="00DC4F88">
      <w:pPr>
        <w:spacing w:before="200" w:after="200" w:line="240" w:lineRule="auto"/>
        <w:ind w:firstLine="567"/>
        <w:rPr>
          <w:rFonts w:cs="Calibri"/>
          <w:b/>
          <w:bCs/>
          <w:sz w:val="24"/>
          <w:szCs w:val="24"/>
          <w:u w:val="single"/>
        </w:rPr>
      </w:pPr>
      <w:r w:rsidRPr="00DC4F88">
        <w:rPr>
          <w:rFonts w:cs="Calibri"/>
          <w:sz w:val="24"/>
          <w:szCs w:val="24"/>
        </w:rPr>
        <w:t>Diante disso, os pedidos de indenização por danos morais e materiais não merecem prosperar.</w:t>
      </w:r>
    </w:p>
    <w:p w14:paraId="4A363856" w14:textId="77777777" w:rsidR="006A71F7" w:rsidRPr="00DC4F88" w:rsidRDefault="006A71F7">
      <w:pPr>
        <w:spacing w:before="200" w:after="200" w:line="240" w:lineRule="auto"/>
        <w:jc w:val="center"/>
        <w:rPr>
          <w:rFonts w:cs="Calibri"/>
          <w:b/>
          <w:bCs/>
          <w:sz w:val="24"/>
          <w:szCs w:val="24"/>
          <w:u w:val="single"/>
        </w:rPr>
      </w:pPr>
    </w:p>
    <w:p w14:paraId="35F4E0F2" w14:textId="1D1C1D07" w:rsidR="004767F5" w:rsidRPr="00DC4F88" w:rsidRDefault="00291592">
      <w:pPr>
        <w:spacing w:before="200" w:after="200" w:line="240" w:lineRule="auto"/>
        <w:jc w:val="center"/>
        <w:rPr>
          <w:rFonts w:cs="Calibri"/>
          <w:b/>
          <w:bCs/>
          <w:sz w:val="24"/>
          <w:szCs w:val="24"/>
          <w:u w:val="single"/>
        </w:rPr>
      </w:pPr>
      <w:r w:rsidRPr="00DC4F88">
        <w:rPr>
          <w:rFonts w:cs="Calibri"/>
          <w:b/>
          <w:bCs/>
          <w:sz w:val="24"/>
          <w:szCs w:val="24"/>
          <w:u w:val="single"/>
        </w:rPr>
        <w:t>CONCLUSÃO</w:t>
      </w:r>
    </w:p>
    <w:p w14:paraId="121A4282" w14:textId="77777777" w:rsidR="006A71F7" w:rsidRPr="00DC4F88" w:rsidRDefault="006A71F7">
      <w:pPr>
        <w:spacing w:before="200" w:after="200" w:line="240" w:lineRule="auto"/>
        <w:jc w:val="center"/>
        <w:rPr>
          <w:rFonts w:cs="Calibri"/>
          <w:sz w:val="24"/>
          <w:szCs w:val="24"/>
        </w:rPr>
      </w:pPr>
    </w:p>
    <w:p w14:paraId="0CAE29E4" w14:textId="77777777" w:rsidR="004767F5" w:rsidRPr="00DC4F88" w:rsidRDefault="00291592" w:rsidP="00DC4F88">
      <w:pPr>
        <w:spacing w:before="200" w:after="200" w:line="240" w:lineRule="auto"/>
        <w:ind w:firstLine="567"/>
        <w:jc w:val="both"/>
        <w:rPr>
          <w:rFonts w:cs="Calibri"/>
          <w:sz w:val="24"/>
          <w:szCs w:val="24"/>
        </w:rPr>
      </w:pPr>
      <w:r w:rsidRPr="00DC4F88">
        <w:rPr>
          <w:rFonts w:cs="Calibri"/>
          <w:sz w:val="24"/>
          <w:szCs w:val="24"/>
        </w:rPr>
        <w:t>Pelo exposto e por tudo mais que dos autos consta, requer a total improcedência dos pedidos da parte autora.</w:t>
      </w:r>
    </w:p>
    <w:p w14:paraId="02D2B9DA" w14:textId="72A956B1" w:rsidR="004767F5" w:rsidRPr="00DC4F88" w:rsidRDefault="00291592" w:rsidP="00DC4F88">
      <w:pPr>
        <w:spacing w:before="200" w:after="200" w:line="240" w:lineRule="auto"/>
        <w:ind w:firstLine="567"/>
        <w:jc w:val="both"/>
        <w:rPr>
          <w:rFonts w:cs="Calibri"/>
          <w:sz w:val="24"/>
          <w:szCs w:val="24"/>
        </w:rPr>
      </w:pPr>
      <w:r w:rsidRPr="00DC4F88">
        <w:rPr>
          <w:rFonts w:cs="Calibri"/>
          <w:sz w:val="24"/>
          <w:szCs w:val="24"/>
        </w:rPr>
        <w:t xml:space="preserve">Requer a Ré que todas as intimações sejam encaminhadas ao escritório de seus patronos, sito na </w:t>
      </w:r>
      <w:r w:rsidRPr="00DC4F88">
        <w:rPr>
          <w:rFonts w:cs="Calibri"/>
          <w:color w:val="000000"/>
          <w:sz w:val="24"/>
          <w:szCs w:val="24"/>
        </w:rPr>
        <w:t xml:space="preserve">Rua do Passeio, 38, Torre 2, 15 andar, Sala 1509/1512 – Centro - CEP:20021-290 – RJ – Rio de Janeiro </w:t>
      </w:r>
      <w:r w:rsidRPr="00DC4F88">
        <w:rPr>
          <w:rFonts w:cs="Calibri"/>
          <w:sz w:val="24"/>
          <w:szCs w:val="24"/>
        </w:rPr>
        <w:t xml:space="preserve">e que as publicações sejam realizadas, exclusivamente, em nome do patrono </w:t>
      </w:r>
      <w:r w:rsidRPr="00DC4F88">
        <w:rPr>
          <w:rFonts w:cs="Calibri"/>
          <w:b/>
          <w:bCs/>
          <w:sz w:val="24"/>
          <w:szCs w:val="24"/>
          <w:u w:val="single"/>
        </w:rPr>
        <w:t>Dr. JOÃO ALVES BARBOSA FILHO,</w:t>
      </w:r>
      <w:r w:rsidRPr="00DC4F88">
        <w:rPr>
          <w:rFonts w:cs="Calibri"/>
          <w:sz w:val="24"/>
          <w:szCs w:val="24"/>
        </w:rPr>
        <w:t xml:space="preserve"> inscrito sob o nº </w:t>
      </w:r>
      <w:r w:rsidRPr="00DC4F88">
        <w:rPr>
          <w:rFonts w:cs="Calibri"/>
          <w:b/>
          <w:bCs/>
          <w:sz w:val="24"/>
          <w:szCs w:val="24"/>
          <w:u w:val="single"/>
        </w:rPr>
        <w:t>OAB/RS 90657-A,</w:t>
      </w:r>
      <w:r w:rsidRPr="00DC4F88">
        <w:rPr>
          <w:rFonts w:cs="Calibri"/>
          <w:sz w:val="24"/>
          <w:szCs w:val="24"/>
        </w:rPr>
        <w:t xml:space="preserve"> sob pena de nulidade </w:t>
      </w:r>
      <w:proofErr w:type="gramStart"/>
      <w:r w:rsidRPr="00DC4F88">
        <w:rPr>
          <w:rFonts w:cs="Calibri"/>
          <w:sz w:val="24"/>
          <w:szCs w:val="24"/>
        </w:rPr>
        <w:t>das mesmas</w:t>
      </w:r>
      <w:proofErr w:type="gramEnd"/>
      <w:r w:rsidRPr="00DC4F88">
        <w:rPr>
          <w:rFonts w:cs="Calibri"/>
          <w:sz w:val="24"/>
          <w:szCs w:val="24"/>
        </w:rPr>
        <w:t>.</w:t>
      </w:r>
    </w:p>
    <w:p w14:paraId="0A02439E" w14:textId="328A3C56" w:rsidR="004767F5" w:rsidRPr="00DC4F88" w:rsidRDefault="00291592" w:rsidP="00291592">
      <w:pPr>
        <w:spacing w:before="200" w:after="200" w:line="240" w:lineRule="auto"/>
        <w:jc w:val="both"/>
        <w:rPr>
          <w:rFonts w:cs="Calibri"/>
          <w:sz w:val="24"/>
          <w:szCs w:val="24"/>
        </w:rPr>
      </w:pPr>
      <w:r w:rsidRPr="00DC4F88">
        <w:rPr>
          <w:rFonts w:cs="Calibri"/>
          <w:sz w:val="24"/>
          <w:szCs w:val="24"/>
        </w:rPr>
        <w:t> </w:t>
      </w:r>
    </w:p>
    <w:p w14:paraId="2848D490" w14:textId="3FF942B2" w:rsidR="004767F5" w:rsidRPr="00DC4F88" w:rsidRDefault="00291592">
      <w:pPr>
        <w:spacing w:before="200" w:after="200" w:line="240" w:lineRule="auto"/>
        <w:jc w:val="center"/>
        <w:rPr>
          <w:rFonts w:cs="Calibri"/>
          <w:sz w:val="24"/>
          <w:szCs w:val="24"/>
        </w:rPr>
      </w:pPr>
      <w:r w:rsidRPr="00DC4F88">
        <w:rPr>
          <w:rFonts w:cs="Calibri"/>
          <w:sz w:val="24"/>
          <w:szCs w:val="24"/>
        </w:rPr>
        <w:t>Nestes Termos,</w:t>
      </w:r>
      <w:r w:rsidRPr="00DC4F88">
        <w:rPr>
          <w:rFonts w:cs="Calibri"/>
          <w:sz w:val="24"/>
          <w:szCs w:val="24"/>
        </w:rPr>
        <w:br/>
        <w:t> Pede Deferimento,</w:t>
      </w:r>
      <w:r w:rsidRPr="00DC4F88">
        <w:rPr>
          <w:rFonts w:cs="Calibri"/>
          <w:sz w:val="24"/>
          <w:szCs w:val="24"/>
        </w:rPr>
        <w:br/>
      </w:r>
      <w:r w:rsidRPr="00DC4F88">
        <w:rPr>
          <w:rFonts w:cs="Calibri"/>
          <w:sz w:val="24"/>
          <w:szCs w:val="24"/>
        </w:rPr>
        <w:br/>
      </w:r>
      <w:r w:rsidR="00860310">
        <w:rPr>
          <w:rFonts w:cs="Calibri"/>
          <w:sz w:val="24"/>
          <w:szCs w:val="24"/>
        </w:rPr>
        <w:t>ERECHIM</w:t>
      </w:r>
      <w:r w:rsidRPr="00DC4F88">
        <w:rPr>
          <w:rFonts w:cs="Calibri"/>
          <w:sz w:val="24"/>
          <w:szCs w:val="24"/>
        </w:rPr>
        <w:t xml:space="preserve">, </w:t>
      </w:r>
      <w:r w:rsidR="00860310">
        <w:rPr>
          <w:rFonts w:cs="Calibri"/>
          <w:sz w:val="24"/>
          <w:szCs w:val="24"/>
        </w:rPr>
        <w:t>23</w:t>
      </w:r>
      <w:r w:rsidRPr="00DC4F88">
        <w:rPr>
          <w:rFonts w:cs="Calibri"/>
          <w:sz w:val="24"/>
          <w:szCs w:val="24"/>
        </w:rPr>
        <w:t xml:space="preserve"> de </w:t>
      </w:r>
      <w:proofErr w:type="gramStart"/>
      <w:r w:rsidR="007E122F" w:rsidRPr="00DC4F88">
        <w:rPr>
          <w:rFonts w:cs="Calibri"/>
          <w:sz w:val="24"/>
          <w:szCs w:val="24"/>
        </w:rPr>
        <w:t>Maio</w:t>
      </w:r>
      <w:proofErr w:type="gramEnd"/>
      <w:r w:rsidRPr="00DC4F88">
        <w:rPr>
          <w:rFonts w:cs="Calibri"/>
          <w:sz w:val="24"/>
          <w:szCs w:val="24"/>
        </w:rPr>
        <w:t xml:space="preserve"> de 2023.</w:t>
      </w:r>
      <w:r w:rsidRPr="00DC4F88">
        <w:rPr>
          <w:rFonts w:cs="Calibri"/>
          <w:sz w:val="24"/>
          <w:szCs w:val="24"/>
        </w:rPr>
        <w:br/>
      </w:r>
      <w:r w:rsidRPr="00DC4F88">
        <w:rPr>
          <w:rFonts w:cs="Calibri"/>
          <w:sz w:val="24"/>
          <w:szCs w:val="24"/>
        </w:rPr>
        <w:br/>
      </w:r>
      <w:r w:rsidRPr="00DC4F88">
        <w:rPr>
          <w:rFonts w:cs="Calibri"/>
          <w:b/>
          <w:bCs/>
          <w:sz w:val="24"/>
          <w:szCs w:val="24"/>
        </w:rPr>
        <w:t>JOÃO BARBOSA</w:t>
      </w:r>
      <w:r w:rsidRPr="00DC4F88">
        <w:rPr>
          <w:rFonts w:cs="Calibri"/>
          <w:b/>
          <w:bCs/>
          <w:sz w:val="24"/>
          <w:szCs w:val="24"/>
        </w:rPr>
        <w:br/>
        <w:t>OAB/RS 90657-A</w:t>
      </w:r>
      <w:r w:rsidRPr="00DC4F88">
        <w:rPr>
          <w:rFonts w:cs="Calibri"/>
          <w:b/>
          <w:bCs/>
          <w:sz w:val="24"/>
          <w:szCs w:val="24"/>
        </w:rPr>
        <w:br/>
      </w:r>
      <w:r w:rsidRPr="00DC4F88">
        <w:rPr>
          <w:rFonts w:cs="Calibri"/>
          <w:sz w:val="24"/>
          <w:szCs w:val="24"/>
        </w:rPr>
        <w:t> </w:t>
      </w:r>
    </w:p>
    <w:p w14:paraId="0D0F5B3A" w14:textId="77777777" w:rsidR="004767F5" w:rsidRPr="00DC4F88" w:rsidRDefault="00291592">
      <w:pPr>
        <w:spacing w:before="200" w:after="200" w:line="240" w:lineRule="auto"/>
        <w:jc w:val="center"/>
        <w:rPr>
          <w:rFonts w:cs="Calibri"/>
          <w:sz w:val="24"/>
          <w:szCs w:val="24"/>
        </w:rPr>
      </w:pPr>
      <w:r w:rsidRPr="00DC4F88">
        <w:rPr>
          <w:rFonts w:cs="Calibri"/>
          <w:sz w:val="24"/>
          <w:szCs w:val="24"/>
        </w:rPr>
        <w:t> </w:t>
      </w:r>
    </w:p>
    <w:p w14:paraId="212B7B6A" w14:textId="77777777" w:rsidR="004767F5" w:rsidRPr="00DC4F88" w:rsidRDefault="00291592">
      <w:pPr>
        <w:spacing w:before="200" w:after="200" w:line="240" w:lineRule="auto"/>
        <w:jc w:val="center"/>
        <w:rPr>
          <w:rFonts w:cs="Calibri"/>
          <w:sz w:val="24"/>
          <w:szCs w:val="24"/>
        </w:rPr>
      </w:pPr>
      <w:r w:rsidRPr="00DC4F88">
        <w:rPr>
          <w:rFonts w:cs="Calibri"/>
          <w:sz w:val="24"/>
          <w:szCs w:val="24"/>
        </w:rPr>
        <w:t> </w:t>
      </w:r>
    </w:p>
    <w:p w14:paraId="1C2A65F4" w14:textId="77777777" w:rsidR="004767F5" w:rsidRPr="00DC4F88" w:rsidRDefault="00291592">
      <w:pPr>
        <w:spacing w:before="200" w:after="200" w:line="240" w:lineRule="auto"/>
        <w:jc w:val="center"/>
        <w:rPr>
          <w:rFonts w:cs="Calibri"/>
          <w:sz w:val="24"/>
          <w:szCs w:val="24"/>
        </w:rPr>
      </w:pPr>
      <w:r w:rsidRPr="00DC4F88">
        <w:rPr>
          <w:rFonts w:cs="Calibri"/>
          <w:sz w:val="24"/>
          <w:szCs w:val="24"/>
        </w:rPr>
        <w:t> </w:t>
      </w:r>
    </w:p>
    <w:sectPr w:rsidR="004767F5" w:rsidRPr="00DC4F88" w:rsidSect="0076787A">
      <w:footerReference w:type="default" r:id="rId11"/>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B22D1" w14:textId="77777777" w:rsidR="00606A04" w:rsidRDefault="00291592">
      <w:pPr>
        <w:spacing w:after="0" w:line="240" w:lineRule="auto"/>
      </w:pPr>
      <w:r>
        <w:separator/>
      </w:r>
    </w:p>
  </w:endnote>
  <w:endnote w:type="continuationSeparator" w:id="0">
    <w:p w14:paraId="592661A2" w14:textId="77777777" w:rsidR="00606A04" w:rsidRDefault="00291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1A18E7" w14:textId="77777777" w:rsidR="007E1F86" w:rsidRDefault="00291592" w:rsidP="00FE5317">
      <w:pPr>
        <w:spacing w:after="0" w:line="240" w:lineRule="auto"/>
      </w:pPr>
      <w:r>
        <w:separator/>
      </w:r>
    </w:p>
  </w:footnote>
  <w:footnote w:type="continuationSeparator" w:id="0">
    <w:p w14:paraId="775044CC" w14:textId="77777777" w:rsidR="007E1F86" w:rsidRDefault="00291592"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2D803EB8"/>
    <w:multiLevelType w:val="hybridMultilevel"/>
    <w:tmpl w:val="482C38AA"/>
    <w:lvl w:ilvl="0" w:tplc="3A261A7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5CFF5FAF"/>
    <w:multiLevelType w:val="hybridMultilevel"/>
    <w:tmpl w:val="34EEE2BC"/>
    <w:lvl w:ilvl="0" w:tplc="0416000F">
      <w:start w:val="1"/>
      <w:numFmt w:val="decimal"/>
      <w:lvlText w:val="%1."/>
      <w:lvlJc w:val="left"/>
      <w:pPr>
        <w:tabs>
          <w:tab w:val="num" w:pos="2520"/>
        </w:tabs>
        <w:ind w:left="2520" w:hanging="360"/>
      </w:pPr>
    </w:lvl>
    <w:lvl w:ilvl="1" w:tplc="04160019">
      <w:start w:val="1"/>
      <w:numFmt w:val="decimal"/>
      <w:lvlText w:val="%2."/>
      <w:lvlJc w:val="left"/>
      <w:pPr>
        <w:tabs>
          <w:tab w:val="num" w:pos="3600"/>
        </w:tabs>
        <w:ind w:left="3600" w:hanging="360"/>
      </w:pPr>
    </w:lvl>
    <w:lvl w:ilvl="2" w:tplc="0416001B">
      <w:start w:val="1"/>
      <w:numFmt w:val="decimal"/>
      <w:lvlText w:val="%3."/>
      <w:lvlJc w:val="left"/>
      <w:pPr>
        <w:tabs>
          <w:tab w:val="num" w:pos="4320"/>
        </w:tabs>
        <w:ind w:left="4320" w:hanging="360"/>
      </w:pPr>
    </w:lvl>
    <w:lvl w:ilvl="3" w:tplc="0416000F">
      <w:start w:val="1"/>
      <w:numFmt w:val="decimal"/>
      <w:lvlText w:val="%4."/>
      <w:lvlJc w:val="left"/>
      <w:pPr>
        <w:tabs>
          <w:tab w:val="num" w:pos="5040"/>
        </w:tabs>
        <w:ind w:left="5040" w:hanging="360"/>
      </w:pPr>
    </w:lvl>
    <w:lvl w:ilvl="4" w:tplc="04160019">
      <w:start w:val="1"/>
      <w:numFmt w:val="decimal"/>
      <w:lvlText w:val="%5."/>
      <w:lvlJc w:val="left"/>
      <w:pPr>
        <w:tabs>
          <w:tab w:val="num" w:pos="5760"/>
        </w:tabs>
        <w:ind w:left="5760" w:hanging="360"/>
      </w:pPr>
    </w:lvl>
    <w:lvl w:ilvl="5" w:tplc="0416001B">
      <w:start w:val="1"/>
      <w:numFmt w:val="decimal"/>
      <w:lvlText w:val="%6."/>
      <w:lvlJc w:val="left"/>
      <w:pPr>
        <w:tabs>
          <w:tab w:val="num" w:pos="6480"/>
        </w:tabs>
        <w:ind w:left="6480" w:hanging="360"/>
      </w:pPr>
    </w:lvl>
    <w:lvl w:ilvl="6" w:tplc="0416000F">
      <w:start w:val="1"/>
      <w:numFmt w:val="decimal"/>
      <w:lvlText w:val="%7."/>
      <w:lvlJc w:val="left"/>
      <w:pPr>
        <w:tabs>
          <w:tab w:val="num" w:pos="7200"/>
        </w:tabs>
        <w:ind w:left="7200" w:hanging="360"/>
      </w:pPr>
    </w:lvl>
    <w:lvl w:ilvl="7" w:tplc="04160019">
      <w:start w:val="1"/>
      <w:numFmt w:val="decimal"/>
      <w:lvlText w:val="%8."/>
      <w:lvlJc w:val="left"/>
      <w:pPr>
        <w:tabs>
          <w:tab w:val="num" w:pos="7920"/>
        </w:tabs>
        <w:ind w:left="7920" w:hanging="360"/>
      </w:pPr>
    </w:lvl>
    <w:lvl w:ilvl="8" w:tplc="0416001B">
      <w:start w:val="1"/>
      <w:numFmt w:val="decimal"/>
      <w:lvlText w:val="%9."/>
      <w:lvlJc w:val="left"/>
      <w:pPr>
        <w:tabs>
          <w:tab w:val="num" w:pos="8640"/>
        </w:tabs>
        <w:ind w:left="8640" w:hanging="360"/>
      </w:pPr>
    </w:lvl>
  </w:abstractNum>
  <w:abstractNum w:abstractNumId="3" w15:restartNumberingAfterBreak="0">
    <w:nsid w:val="6B474143"/>
    <w:multiLevelType w:val="singleLevel"/>
    <w:tmpl w:val="04160017"/>
    <w:lvl w:ilvl="0">
      <w:start w:val="1"/>
      <w:numFmt w:val="lowerLetter"/>
      <w:lvlText w:val="%1)"/>
      <w:lvlJc w:val="left"/>
      <w:pPr>
        <w:tabs>
          <w:tab w:val="num" w:pos="360"/>
        </w:tabs>
        <w:ind w:left="360" w:hanging="360"/>
      </w:pPr>
    </w:lvl>
  </w:abstractNum>
  <w:abstractNum w:abstractNumId="4" w15:restartNumberingAfterBreak="0">
    <w:nsid w:val="761F53B7"/>
    <w:multiLevelType w:val="singleLevel"/>
    <w:tmpl w:val="04160017"/>
    <w:lvl w:ilvl="0">
      <w:start w:val="1"/>
      <w:numFmt w:val="lowerLetter"/>
      <w:lvlText w:val="%1)"/>
      <w:lvlJc w:val="left"/>
      <w:pPr>
        <w:tabs>
          <w:tab w:val="num" w:pos="360"/>
        </w:tabs>
        <w:ind w:left="360" w:hanging="360"/>
      </w:pPr>
    </w:lvl>
  </w:abstractNum>
  <w:num w:numId="1" w16cid:durableId="1174879607">
    <w:abstractNumId w:val="0"/>
  </w:num>
  <w:num w:numId="2" w16cid:durableId="1156190431">
    <w:abstractNumId w:val="1"/>
  </w:num>
  <w:num w:numId="3" w16cid:durableId="10215132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66324274">
    <w:abstractNumId w:val="4"/>
    <w:lvlOverride w:ilvl="0">
      <w:startOverride w:val="1"/>
    </w:lvlOverride>
  </w:num>
  <w:num w:numId="5" w16cid:durableId="192448536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C60A8"/>
    <w:rsid w:val="000F0E98"/>
    <w:rsid w:val="00291592"/>
    <w:rsid w:val="00326B23"/>
    <w:rsid w:val="003349B7"/>
    <w:rsid w:val="003716FD"/>
    <w:rsid w:val="0037684E"/>
    <w:rsid w:val="00387F34"/>
    <w:rsid w:val="003F5DCE"/>
    <w:rsid w:val="00404C94"/>
    <w:rsid w:val="004767F5"/>
    <w:rsid w:val="00486EBB"/>
    <w:rsid w:val="0052134B"/>
    <w:rsid w:val="00530F86"/>
    <w:rsid w:val="005663F9"/>
    <w:rsid w:val="005869BC"/>
    <w:rsid w:val="005D4224"/>
    <w:rsid w:val="005E1F47"/>
    <w:rsid w:val="00606A04"/>
    <w:rsid w:val="00616B5B"/>
    <w:rsid w:val="00654BB2"/>
    <w:rsid w:val="006A71F7"/>
    <w:rsid w:val="006B1470"/>
    <w:rsid w:val="006B7F84"/>
    <w:rsid w:val="006F66E3"/>
    <w:rsid w:val="006F7A6B"/>
    <w:rsid w:val="00701612"/>
    <w:rsid w:val="0076787A"/>
    <w:rsid w:val="007B689A"/>
    <w:rsid w:val="007E122F"/>
    <w:rsid w:val="007E1F86"/>
    <w:rsid w:val="00860310"/>
    <w:rsid w:val="00873596"/>
    <w:rsid w:val="008E1AB2"/>
    <w:rsid w:val="00956E0D"/>
    <w:rsid w:val="00966369"/>
    <w:rsid w:val="009A636B"/>
    <w:rsid w:val="009D3C6C"/>
    <w:rsid w:val="009E3B76"/>
    <w:rsid w:val="00DC4F88"/>
    <w:rsid w:val="00E67247"/>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paragraph" w:styleId="Recuodecorpodetexto">
    <w:name w:val="Body Text Indent"/>
    <w:basedOn w:val="Normal"/>
    <w:link w:val="RecuodecorpodetextoChar"/>
    <w:rsid w:val="007E122F"/>
    <w:pPr>
      <w:spacing w:after="120" w:line="240" w:lineRule="auto"/>
      <w:ind w:left="283"/>
    </w:pPr>
    <w:rPr>
      <w:rFonts w:ascii="Times New Roman" w:eastAsia="Batang" w:hAnsi="Times New Roman"/>
      <w:sz w:val="20"/>
      <w:szCs w:val="20"/>
      <w:lang w:eastAsia="pt-BR"/>
    </w:rPr>
  </w:style>
  <w:style w:type="character" w:customStyle="1" w:styleId="RecuodecorpodetextoChar">
    <w:name w:val="Recuo de corpo de texto Char"/>
    <w:basedOn w:val="Fontepargpadro"/>
    <w:link w:val="Recuodecorpodetexto"/>
    <w:rsid w:val="007E122F"/>
    <w:rPr>
      <w:rFonts w:ascii="Times New Roman" w:eastAsia="Batang" w:hAnsi="Times New Roman"/>
    </w:rPr>
  </w:style>
  <w:style w:type="paragraph" w:styleId="Recuodecorpodetexto2">
    <w:name w:val="Body Text Indent 2"/>
    <w:basedOn w:val="Normal"/>
    <w:link w:val="Recuodecorpodetexto2Char"/>
    <w:rsid w:val="007E122F"/>
    <w:pPr>
      <w:spacing w:after="120" w:line="480" w:lineRule="auto"/>
      <w:ind w:left="283"/>
    </w:pPr>
    <w:rPr>
      <w:rFonts w:ascii="Times New Roman" w:eastAsia="Batang" w:hAnsi="Times New Roman"/>
      <w:sz w:val="20"/>
      <w:szCs w:val="20"/>
      <w:lang w:eastAsia="pt-BR"/>
    </w:rPr>
  </w:style>
  <w:style w:type="character" w:customStyle="1" w:styleId="Recuodecorpodetexto2Char">
    <w:name w:val="Recuo de corpo de texto 2 Char"/>
    <w:basedOn w:val="Fontepargpadro"/>
    <w:link w:val="Recuodecorpodetexto2"/>
    <w:rsid w:val="007E122F"/>
    <w:rPr>
      <w:rFonts w:ascii="Times New Roman" w:eastAsia="Batang" w:hAnsi="Times New Roman"/>
    </w:rPr>
  </w:style>
  <w:style w:type="paragraph" w:styleId="Corpodetexto">
    <w:name w:val="Body Text"/>
    <w:basedOn w:val="Normal"/>
    <w:link w:val="CorpodetextoChar"/>
    <w:uiPriority w:val="99"/>
    <w:semiHidden/>
    <w:unhideWhenUsed/>
    <w:rsid w:val="007E122F"/>
    <w:pPr>
      <w:spacing w:after="120"/>
    </w:pPr>
  </w:style>
  <w:style w:type="character" w:customStyle="1" w:styleId="CorpodetextoChar">
    <w:name w:val="Corpo de texto Char"/>
    <w:basedOn w:val="Fontepargpadro"/>
    <w:link w:val="Corpodetexto"/>
    <w:uiPriority w:val="99"/>
    <w:semiHidden/>
    <w:rsid w:val="007E122F"/>
    <w:rPr>
      <w:sz w:val="22"/>
      <w:szCs w:val="22"/>
      <w:lang w:eastAsia="en-US"/>
    </w:rPr>
  </w:style>
  <w:style w:type="paragraph" w:styleId="Recuodecorpodetexto3">
    <w:name w:val="Body Text Indent 3"/>
    <w:basedOn w:val="Normal"/>
    <w:link w:val="Recuodecorpodetexto3Char"/>
    <w:uiPriority w:val="99"/>
    <w:semiHidden/>
    <w:unhideWhenUsed/>
    <w:rsid w:val="007E122F"/>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7E122F"/>
    <w:rPr>
      <w:sz w:val="16"/>
      <w:szCs w:val="16"/>
      <w:lang w:eastAsia="en-US"/>
    </w:rPr>
  </w:style>
  <w:style w:type="paragraph" w:styleId="Textoembloco">
    <w:name w:val="Block Text"/>
    <w:basedOn w:val="Normal"/>
    <w:rsid w:val="007E122F"/>
    <w:pPr>
      <w:spacing w:after="0" w:line="240" w:lineRule="auto"/>
      <w:ind w:left="1080" w:right="393"/>
      <w:jc w:val="both"/>
    </w:pPr>
    <w:rPr>
      <w:rFonts w:ascii="Courier New" w:eastAsia="Arial Unicode MS" w:hAnsi="Courier New" w:cs="Courier New"/>
      <w:b/>
      <w:bCs/>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23</Pages>
  <Words>7734</Words>
  <Characters>41769</Characters>
  <Application>Microsoft Office Word</Application>
  <DocSecurity>0</DocSecurity>
  <Lines>348</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2</cp:revision>
  <dcterms:created xsi:type="dcterms:W3CDTF">2023-05-23T21:09:00Z</dcterms:created>
  <dcterms:modified xsi:type="dcterms:W3CDTF">2023-05-23T21:09:00Z</dcterms:modified>
</cp:coreProperties>
</file>