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43B9E" w14:textId="77777777" w:rsidR="004767F5" w:rsidRDefault="00291592">
      <w:pPr>
        <w:spacing w:after="200" w:line="240" w:lineRule="auto"/>
        <w:jc w:val="right"/>
        <w:rPr>
          <w:rFonts w:cs="Calibri"/>
          <w:sz w:val="20"/>
          <w:szCs w:val="20"/>
        </w:rPr>
      </w:pPr>
      <w:r>
        <w:rPr>
          <w:rFonts w:cs="Calibri"/>
          <w:sz w:val="16"/>
          <w:szCs w:val="16"/>
        </w:rPr>
        <w:t>18.000.03329/2023- C3/ 2023-00140/ INVALIDEZ</w:t>
      </w:r>
    </w:p>
    <w:tbl>
      <w:tblPr>
        <w:tblpPr w:vertAnchor="text" w:tblpXSpec="right" w:tblpY="1"/>
        <w:tblOverlap w:val="never"/>
        <w:tblW w:w="9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4767F5" w14:paraId="102EA6E8" w14:textId="77777777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701050" w14:textId="77777777" w:rsidR="004767F5" w:rsidRDefault="00291592">
            <w:pPr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2A2508D3" wp14:editId="69D058FF">
                  <wp:extent cx="1866900" cy="1343025"/>
                  <wp:effectExtent l="0" t="0" r="0" b="0"/>
                  <wp:docPr id="100002" name="Imagem 10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C5BD96" w14:textId="77777777" w:rsidR="004767F5" w:rsidRDefault="00291592">
      <w:pPr>
        <w:spacing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05072340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DDFF61C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3F1824A" w14:textId="77777777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33201CF0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202E4AC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40B913E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ACFF3FA" w14:textId="6C9F5C11" w:rsidR="004767F5" w:rsidRPr="004B0CA7" w:rsidRDefault="00291592">
      <w:pPr>
        <w:spacing w:before="200" w:after="200" w:line="240" w:lineRule="auto"/>
        <w:rPr>
          <w:rFonts w:ascii="Arial" w:hAnsi="Arial" w:cs="Arial"/>
        </w:rPr>
      </w:pPr>
      <w:r w:rsidRPr="004B0CA7">
        <w:rPr>
          <w:rFonts w:ascii="Arial" w:hAnsi="Arial" w:cs="Arial"/>
          <w:b/>
          <w:bCs/>
        </w:rPr>
        <w:t xml:space="preserve">EXMO. SR. DR. JUIZ FEDERAL DA </w:t>
      </w:r>
      <w:r w:rsidR="004B0CA7">
        <w:rPr>
          <w:rFonts w:ascii="Arial" w:hAnsi="Arial" w:cs="Arial"/>
          <w:b/>
          <w:bCs/>
        </w:rPr>
        <w:t>2</w:t>
      </w:r>
      <w:r w:rsidRPr="004B0CA7">
        <w:rPr>
          <w:rFonts w:ascii="Arial" w:hAnsi="Arial" w:cs="Arial"/>
          <w:b/>
          <w:bCs/>
        </w:rPr>
        <w:t xml:space="preserve">ª VARA FEDERAL DA SUBSEÇÃO DE </w:t>
      </w:r>
      <w:r w:rsidR="004B0CA7">
        <w:rPr>
          <w:rFonts w:ascii="Arial" w:hAnsi="Arial" w:cs="Arial"/>
          <w:b/>
          <w:bCs/>
        </w:rPr>
        <w:t>PASSO FUNDO</w:t>
      </w:r>
      <w:r w:rsidRPr="004B0CA7">
        <w:rPr>
          <w:rFonts w:ascii="Arial" w:hAnsi="Arial" w:cs="Arial"/>
          <w:b/>
          <w:bCs/>
        </w:rPr>
        <w:t xml:space="preserve"> – SEÇÃO JUDICIÁRIA DO RIO GRANDE DO SUL</w:t>
      </w:r>
    </w:p>
    <w:p w14:paraId="16CFB2C9" w14:textId="77777777" w:rsidR="004767F5" w:rsidRPr="004B0CA7" w:rsidRDefault="00291592">
      <w:pPr>
        <w:spacing w:before="200" w:after="200" w:line="240" w:lineRule="auto"/>
        <w:jc w:val="both"/>
        <w:rPr>
          <w:rFonts w:ascii="Arial" w:hAnsi="Arial" w:cs="Arial"/>
        </w:rPr>
      </w:pPr>
      <w:r w:rsidRPr="004B0CA7">
        <w:rPr>
          <w:rFonts w:ascii="Arial" w:hAnsi="Arial" w:cs="Arial"/>
        </w:rPr>
        <w:t> </w:t>
      </w:r>
    </w:p>
    <w:p w14:paraId="390A9153" w14:textId="77777777" w:rsidR="004767F5" w:rsidRPr="004B0CA7" w:rsidRDefault="00291592">
      <w:pPr>
        <w:spacing w:before="200" w:after="200" w:line="240" w:lineRule="auto"/>
        <w:jc w:val="both"/>
        <w:rPr>
          <w:rFonts w:ascii="Arial" w:hAnsi="Arial" w:cs="Arial"/>
        </w:rPr>
      </w:pPr>
      <w:r w:rsidRPr="004B0CA7">
        <w:rPr>
          <w:rFonts w:ascii="Arial" w:hAnsi="Arial" w:cs="Arial"/>
        </w:rPr>
        <w:t> </w:t>
      </w:r>
    </w:p>
    <w:p w14:paraId="657601DB" w14:textId="77777777" w:rsidR="004767F5" w:rsidRPr="004B0CA7" w:rsidRDefault="00291592">
      <w:pPr>
        <w:spacing w:before="200" w:after="200" w:line="240" w:lineRule="auto"/>
        <w:jc w:val="both"/>
        <w:rPr>
          <w:rFonts w:ascii="Arial" w:hAnsi="Arial" w:cs="Arial"/>
        </w:rPr>
      </w:pPr>
      <w:r w:rsidRPr="004B0CA7">
        <w:rPr>
          <w:rFonts w:ascii="Arial" w:hAnsi="Arial" w:cs="Arial"/>
        </w:rPr>
        <w:t> </w:t>
      </w:r>
    </w:p>
    <w:p w14:paraId="7B320D31" w14:textId="0013D307" w:rsidR="004767F5" w:rsidRPr="004B0CA7" w:rsidRDefault="00291592" w:rsidP="004B0CA7">
      <w:pPr>
        <w:spacing w:before="200" w:after="200" w:line="240" w:lineRule="auto"/>
        <w:jc w:val="both"/>
        <w:rPr>
          <w:rFonts w:ascii="Arial" w:hAnsi="Arial" w:cs="Arial"/>
        </w:rPr>
      </w:pPr>
      <w:r w:rsidRPr="004B0CA7">
        <w:rPr>
          <w:rFonts w:ascii="Arial" w:hAnsi="Arial" w:cs="Arial"/>
          <w:b/>
          <w:bCs/>
        </w:rPr>
        <w:t xml:space="preserve">Processo: </w:t>
      </w:r>
      <w:r w:rsidR="004B0CA7" w:rsidRPr="004B0CA7">
        <w:rPr>
          <w:rFonts w:ascii="Arial" w:hAnsi="Arial" w:cs="Arial"/>
        </w:rPr>
        <w:t>5002201-50.2023.4.04.7104/RS</w:t>
      </w:r>
    </w:p>
    <w:p w14:paraId="2A10DF5F" w14:textId="36D62CEF" w:rsidR="004767F5" w:rsidRPr="004B0CA7" w:rsidRDefault="00291592" w:rsidP="006B1470">
      <w:pPr>
        <w:spacing w:after="200" w:line="240" w:lineRule="auto"/>
        <w:rPr>
          <w:rFonts w:ascii="Arial" w:hAnsi="Arial" w:cs="Arial"/>
        </w:rPr>
      </w:pPr>
      <w:r w:rsidRPr="004B0CA7">
        <w:rPr>
          <w:rFonts w:ascii="Arial" w:hAnsi="Arial" w:cs="Arial"/>
        </w:rPr>
        <w:t> </w:t>
      </w:r>
    </w:p>
    <w:p w14:paraId="6455FDDA" w14:textId="77777777" w:rsidR="004767F5" w:rsidRPr="004B0CA7" w:rsidRDefault="00291592">
      <w:pPr>
        <w:spacing w:before="200" w:after="200" w:line="240" w:lineRule="auto"/>
        <w:rPr>
          <w:rFonts w:ascii="Arial" w:hAnsi="Arial" w:cs="Arial"/>
        </w:rPr>
      </w:pPr>
      <w:r w:rsidRPr="004B0CA7">
        <w:rPr>
          <w:rFonts w:ascii="Arial" w:hAnsi="Arial" w:cs="Arial"/>
        </w:rPr>
        <w:t> </w:t>
      </w:r>
    </w:p>
    <w:p w14:paraId="51F872D4" w14:textId="77777777" w:rsidR="004767F5" w:rsidRPr="004B0CA7" w:rsidRDefault="00291592">
      <w:pPr>
        <w:spacing w:before="200" w:after="200" w:line="240" w:lineRule="auto"/>
        <w:rPr>
          <w:rFonts w:ascii="Arial" w:hAnsi="Arial" w:cs="Arial"/>
        </w:rPr>
      </w:pPr>
      <w:r w:rsidRPr="004B0CA7">
        <w:rPr>
          <w:rFonts w:ascii="Arial" w:hAnsi="Arial" w:cs="Arial"/>
        </w:rPr>
        <w:t> </w:t>
      </w:r>
    </w:p>
    <w:p w14:paraId="435A18AA" w14:textId="724DE7D2" w:rsidR="004767F5" w:rsidRPr="004B0CA7" w:rsidRDefault="006B1470">
      <w:pPr>
        <w:spacing w:before="200" w:after="200" w:line="240" w:lineRule="auto"/>
        <w:ind w:firstLine="1701"/>
        <w:jc w:val="both"/>
        <w:rPr>
          <w:rFonts w:ascii="Arial" w:hAnsi="Arial" w:cs="Arial"/>
        </w:rPr>
      </w:pPr>
      <w:r w:rsidRPr="004B0CA7">
        <w:rPr>
          <w:rFonts w:ascii="Arial" w:hAnsi="Arial" w:cs="Arial"/>
          <w:b/>
          <w:bCs/>
        </w:rPr>
        <w:t>CAIXA ECONÔMICA FEDERAL – CEF</w:t>
      </w:r>
      <w:r w:rsidRPr="004B0CA7">
        <w:rPr>
          <w:rFonts w:ascii="Arial" w:hAnsi="Arial" w:cs="Arial"/>
        </w:rPr>
        <w:t>, instituição financeira sob a forma de empresa pública, inscrita no CGC/MF sob n.º 00.360.305/1780-00, com sede em Brasília/DF e Escritório de Negócios neste Estado, com endereço na Rua dos Andradas, n.º 1000, em Porto Alegre/RS,</w:t>
      </w:r>
      <w:r w:rsidR="00291592" w:rsidRPr="004B0CA7">
        <w:rPr>
          <w:rFonts w:ascii="Arial" w:hAnsi="Arial" w:cs="Arial"/>
        </w:rPr>
        <w:t xml:space="preserve">, onde recebe citações, intimações e notificações de estilo, por seu advogado que esta subscreve, mandato incluso nos autos da </w:t>
      </w:r>
      <w:r w:rsidR="00291592" w:rsidRPr="004B0CA7">
        <w:rPr>
          <w:rFonts w:ascii="Arial" w:hAnsi="Arial" w:cs="Arial"/>
          <w:b/>
          <w:bCs/>
          <w:i/>
          <w:iCs/>
        </w:rPr>
        <w:t>AÇÃO DE</w:t>
      </w:r>
      <w:r w:rsidR="00693FA2" w:rsidRPr="004B0CA7">
        <w:rPr>
          <w:rFonts w:ascii="Arial" w:hAnsi="Arial" w:cs="Arial"/>
          <w:b/>
          <w:bCs/>
          <w:i/>
          <w:iCs/>
        </w:rPr>
        <w:t xml:space="preserve"> OBRIGAÇÃO DE FAZER C/C</w:t>
      </w:r>
      <w:r w:rsidR="00291592" w:rsidRPr="004B0CA7">
        <w:rPr>
          <w:rFonts w:ascii="Arial" w:hAnsi="Arial" w:cs="Arial"/>
          <w:b/>
          <w:bCs/>
          <w:i/>
          <w:iCs/>
        </w:rPr>
        <w:t xml:space="preserve"> </w:t>
      </w:r>
      <w:r w:rsidRPr="004B0CA7">
        <w:rPr>
          <w:rFonts w:ascii="Arial" w:hAnsi="Arial" w:cs="Arial"/>
          <w:b/>
          <w:bCs/>
          <w:i/>
          <w:iCs/>
        </w:rPr>
        <w:t>INDENIZAÇÃO POR DANOS MATERIAIS</w:t>
      </w:r>
      <w:r w:rsidR="00291592" w:rsidRPr="004B0CA7">
        <w:rPr>
          <w:rFonts w:ascii="Arial" w:hAnsi="Arial" w:cs="Arial"/>
          <w:b/>
          <w:bCs/>
          <w:i/>
          <w:iCs/>
        </w:rPr>
        <w:t xml:space="preserve">, </w:t>
      </w:r>
      <w:r w:rsidR="00291592" w:rsidRPr="004B0CA7">
        <w:rPr>
          <w:rFonts w:ascii="Arial" w:hAnsi="Arial" w:cs="Arial"/>
        </w:rPr>
        <w:t xml:space="preserve">que lhe promove </w:t>
      </w:r>
      <w:r w:rsidR="004B0CA7" w:rsidRPr="004B0CA7">
        <w:rPr>
          <w:rFonts w:ascii="Arial" w:hAnsi="Arial" w:cs="Arial"/>
          <w:b/>
          <w:bCs/>
        </w:rPr>
        <w:t>EGON EMILIO WUST</w:t>
      </w:r>
      <w:r w:rsidR="00291592" w:rsidRPr="004B0CA7">
        <w:rPr>
          <w:rFonts w:ascii="Arial" w:hAnsi="Arial" w:cs="Arial"/>
        </w:rPr>
        <w:t xml:space="preserve">, em trâmite perante este Douto Juízo, vem, </w:t>
      </w:r>
      <w:r w:rsidR="00291592" w:rsidRPr="004B0CA7">
        <w:rPr>
          <w:rFonts w:ascii="Arial" w:hAnsi="Arial" w:cs="Arial"/>
          <w:i/>
          <w:iCs/>
        </w:rPr>
        <w:t>mui</w:t>
      </w:r>
      <w:r w:rsidR="00291592" w:rsidRPr="004B0CA7">
        <w:rPr>
          <w:rFonts w:ascii="Arial" w:hAnsi="Arial" w:cs="Arial"/>
        </w:rPr>
        <w:t xml:space="preserve"> respeitosamente, à presença de Vossa Excelência, apresentar</w:t>
      </w:r>
      <w:r w:rsidR="00693FA2" w:rsidRPr="004B0CA7">
        <w:rPr>
          <w:rFonts w:ascii="Arial" w:hAnsi="Arial" w:cs="Arial"/>
        </w:rPr>
        <w:t xml:space="preserve"> </w:t>
      </w:r>
      <w:r w:rsidR="00693FA2" w:rsidRPr="004B0CA7">
        <w:rPr>
          <w:rFonts w:ascii="Arial" w:hAnsi="Arial" w:cs="Arial"/>
          <w:b/>
          <w:bCs/>
          <w:u w:val="single"/>
        </w:rPr>
        <w:t>MANIFESTAÇÃO AO PEDIDO DE TUTELA ANTECIPADA</w:t>
      </w:r>
      <w:r w:rsidR="00693FA2" w:rsidRPr="004B0CA7">
        <w:rPr>
          <w:rFonts w:ascii="Arial" w:hAnsi="Arial" w:cs="Arial"/>
        </w:rPr>
        <w:t>:</w:t>
      </w:r>
    </w:p>
    <w:p w14:paraId="7C90E13B" w14:textId="07D9DDD1" w:rsidR="00AF1F4A" w:rsidRPr="004B0CA7" w:rsidRDefault="00AF1F4A" w:rsidP="005D5DDB">
      <w:pPr>
        <w:spacing w:before="200" w:after="200" w:line="240" w:lineRule="auto"/>
        <w:rPr>
          <w:rFonts w:ascii="Arial" w:hAnsi="Arial" w:cs="Arial"/>
          <w:b/>
          <w:bCs/>
          <w:u w:val="single"/>
        </w:rPr>
      </w:pPr>
    </w:p>
    <w:p w14:paraId="247CA3FD" w14:textId="5A531794" w:rsidR="00693FA2" w:rsidRPr="004B0CA7" w:rsidRDefault="005D5DDB" w:rsidP="005D5DDB">
      <w:pPr>
        <w:tabs>
          <w:tab w:val="left" w:pos="709"/>
        </w:tabs>
        <w:spacing w:after="0" w:line="320" w:lineRule="exact"/>
        <w:jc w:val="both"/>
        <w:rPr>
          <w:rFonts w:ascii="Arial" w:hAnsi="Arial" w:cs="Arial"/>
        </w:rPr>
      </w:pPr>
      <w:r w:rsidRPr="004B0CA7">
        <w:rPr>
          <w:rFonts w:ascii="Arial" w:hAnsi="Arial" w:cs="Arial"/>
        </w:rPr>
        <w:tab/>
      </w:r>
      <w:r w:rsidR="00693FA2" w:rsidRPr="004B0CA7">
        <w:rPr>
          <w:rFonts w:ascii="Arial" w:hAnsi="Arial" w:cs="Arial"/>
        </w:rPr>
        <w:t xml:space="preserve">Em breve resumo, trata-se de </w:t>
      </w:r>
      <w:r w:rsidR="00693FA2" w:rsidRPr="004B0CA7">
        <w:rPr>
          <w:rFonts w:ascii="Arial" w:hAnsi="Arial" w:cs="Arial"/>
        </w:rPr>
        <w:t>um pedido de abatimento de 1% ao mês pelo prazo máximo de 36 meses no contrato de Financiamento Estudantil (FIES) concedido sob especiais circunstâncias nos termos da legislação aplicável (Portaria Normativa nº 07/2013). Entendendo fazer jus ao aludido benefício, a parte autora ingressou em juízo com o escopo de compelir a ré (que figura apenas como operadora financeira) a efetivar tal abatimento contratual normativamente previsto, bem como pelo pagamento de danos materiais.</w:t>
      </w:r>
    </w:p>
    <w:p w14:paraId="6387FC7A" w14:textId="77777777" w:rsidR="00693FA2" w:rsidRPr="004B0CA7" w:rsidRDefault="00693FA2" w:rsidP="00693FA2">
      <w:pPr>
        <w:tabs>
          <w:tab w:val="left" w:pos="709"/>
        </w:tabs>
        <w:spacing w:after="0" w:line="320" w:lineRule="exact"/>
        <w:jc w:val="both"/>
        <w:rPr>
          <w:rFonts w:ascii="Arial" w:hAnsi="Arial" w:cs="Arial"/>
        </w:rPr>
      </w:pPr>
    </w:p>
    <w:p w14:paraId="3E294BC0" w14:textId="40BC6B72" w:rsidR="00693FA2" w:rsidRPr="004B0CA7" w:rsidRDefault="005D5DDB" w:rsidP="005D5DDB">
      <w:pPr>
        <w:tabs>
          <w:tab w:val="left" w:pos="709"/>
        </w:tabs>
        <w:spacing w:after="0" w:line="320" w:lineRule="exact"/>
        <w:jc w:val="both"/>
        <w:rPr>
          <w:rFonts w:ascii="Arial" w:hAnsi="Arial" w:cs="Arial"/>
        </w:rPr>
      </w:pPr>
      <w:r w:rsidRPr="004B0CA7">
        <w:rPr>
          <w:rFonts w:ascii="Arial" w:hAnsi="Arial" w:cs="Arial"/>
        </w:rPr>
        <w:tab/>
      </w:r>
      <w:r w:rsidR="00693FA2" w:rsidRPr="004B0CA7">
        <w:rPr>
          <w:rFonts w:ascii="Arial" w:hAnsi="Arial" w:cs="Arial"/>
        </w:rPr>
        <w:t>A parte autora entende ainda que seu pleito é passível de ser analisado liminarmente, pelo que pleiteia a antecipação dos efeitos da tutela, notadamente com a imediata readequação do valor das parcelas de amortização do contrato do FIES.</w:t>
      </w:r>
    </w:p>
    <w:p w14:paraId="2C3906B9" w14:textId="77777777" w:rsidR="00693FA2" w:rsidRPr="004B0CA7" w:rsidRDefault="00693FA2" w:rsidP="00693FA2">
      <w:pPr>
        <w:pStyle w:val="Corpodetexto2"/>
        <w:tabs>
          <w:tab w:val="left" w:pos="709"/>
        </w:tabs>
        <w:spacing w:after="0" w:line="320" w:lineRule="exact"/>
        <w:jc w:val="both"/>
        <w:rPr>
          <w:rFonts w:ascii="Arial" w:hAnsi="Arial" w:cs="Arial"/>
          <w:sz w:val="22"/>
          <w:szCs w:val="22"/>
        </w:rPr>
      </w:pPr>
    </w:p>
    <w:p w14:paraId="22C3C22C" w14:textId="1772D6B9" w:rsidR="00693FA2" w:rsidRPr="004B0CA7" w:rsidRDefault="005D5DDB" w:rsidP="005D5DDB">
      <w:pPr>
        <w:tabs>
          <w:tab w:val="left" w:pos="709"/>
        </w:tabs>
        <w:spacing w:after="0" w:line="320" w:lineRule="exact"/>
        <w:jc w:val="both"/>
        <w:rPr>
          <w:rFonts w:ascii="Arial" w:hAnsi="Arial" w:cs="Arial"/>
        </w:rPr>
      </w:pPr>
      <w:r w:rsidRPr="004B0CA7">
        <w:rPr>
          <w:rFonts w:ascii="Arial" w:hAnsi="Arial" w:cs="Arial"/>
        </w:rPr>
        <w:tab/>
      </w:r>
      <w:r w:rsidR="00693FA2" w:rsidRPr="004B0CA7">
        <w:rPr>
          <w:rFonts w:ascii="Arial" w:hAnsi="Arial" w:cs="Arial"/>
        </w:rPr>
        <w:t xml:space="preserve">Ocorre que, conforme se verá pormenorizadamente a seguir, a parte </w:t>
      </w:r>
      <w:r w:rsidR="00693FA2" w:rsidRPr="004B0CA7">
        <w:rPr>
          <w:rFonts w:ascii="Arial" w:hAnsi="Arial" w:cs="Arial"/>
        </w:rPr>
        <w:t>autora</w:t>
      </w:r>
      <w:r w:rsidR="00693FA2" w:rsidRPr="004B0CA7">
        <w:rPr>
          <w:rFonts w:ascii="Arial" w:hAnsi="Arial" w:cs="Arial"/>
        </w:rPr>
        <w:t xml:space="preserve"> não apresenta em sua peça qualquer fundamento a ensejar a </w:t>
      </w:r>
      <w:r w:rsidR="00693FA2" w:rsidRPr="004B0CA7">
        <w:rPr>
          <w:rFonts w:ascii="Arial" w:hAnsi="Arial" w:cs="Arial"/>
        </w:rPr>
        <w:t>concessão da antecipação dos efeitos da tutela</w:t>
      </w:r>
      <w:r w:rsidR="00693FA2" w:rsidRPr="004B0CA7">
        <w:rPr>
          <w:rFonts w:ascii="Arial" w:hAnsi="Arial" w:cs="Arial"/>
        </w:rPr>
        <w:t xml:space="preserve">, razão pela qual </w:t>
      </w:r>
      <w:r w:rsidR="00693FA2" w:rsidRPr="004B0CA7">
        <w:rPr>
          <w:rFonts w:ascii="Arial" w:hAnsi="Arial" w:cs="Arial"/>
        </w:rPr>
        <w:t>seu pleito</w:t>
      </w:r>
      <w:r w:rsidR="00693FA2" w:rsidRPr="004B0CA7">
        <w:rPr>
          <w:rFonts w:ascii="Arial" w:hAnsi="Arial" w:cs="Arial"/>
        </w:rPr>
        <w:t xml:space="preserve"> deve ser rejeitado de plano. </w:t>
      </w:r>
    </w:p>
    <w:p w14:paraId="4AFCD917" w14:textId="77777777" w:rsidR="00693FA2" w:rsidRPr="004B0CA7" w:rsidRDefault="00693FA2" w:rsidP="00693FA2">
      <w:pPr>
        <w:pStyle w:val="PargrafodaLista"/>
        <w:spacing w:line="320" w:lineRule="exact"/>
        <w:ind w:left="0" w:firstLine="709"/>
        <w:jc w:val="both"/>
        <w:rPr>
          <w:rFonts w:ascii="Arial" w:eastAsia="Times" w:hAnsi="Arial" w:cs="Arial"/>
          <w:bCs/>
          <w:iCs/>
          <w:color w:val="000000"/>
          <w:sz w:val="22"/>
          <w:szCs w:val="22"/>
        </w:rPr>
      </w:pPr>
    </w:p>
    <w:p w14:paraId="61212FA7" w14:textId="77777777" w:rsidR="00693FA2" w:rsidRPr="004B0CA7" w:rsidRDefault="00693FA2" w:rsidP="00693FA2">
      <w:pPr>
        <w:pStyle w:val="PargrafodaLista"/>
        <w:spacing w:line="320" w:lineRule="exact"/>
        <w:ind w:left="0" w:firstLine="709"/>
        <w:jc w:val="both"/>
        <w:rPr>
          <w:rFonts w:ascii="Arial" w:eastAsia="Times" w:hAnsi="Arial" w:cs="Arial"/>
          <w:bCs/>
          <w:iCs/>
          <w:color w:val="000000"/>
          <w:sz w:val="22"/>
          <w:szCs w:val="22"/>
        </w:rPr>
      </w:pPr>
    </w:p>
    <w:p w14:paraId="512E13E0" w14:textId="77777777" w:rsidR="00693FA2" w:rsidRPr="004B0CA7" w:rsidRDefault="00693FA2" w:rsidP="00693FA2">
      <w:pPr>
        <w:pStyle w:val="PargrafodaLista"/>
        <w:spacing w:line="320" w:lineRule="exact"/>
        <w:ind w:left="0" w:firstLine="709"/>
        <w:jc w:val="both"/>
        <w:rPr>
          <w:rFonts w:ascii="Arial" w:eastAsia="Times" w:hAnsi="Arial" w:cs="Arial"/>
          <w:bCs/>
          <w:iCs/>
          <w:color w:val="000000"/>
          <w:sz w:val="22"/>
          <w:szCs w:val="22"/>
        </w:rPr>
      </w:pPr>
    </w:p>
    <w:p w14:paraId="6FBD5C07" w14:textId="77777777" w:rsidR="00693FA2" w:rsidRPr="004B0CA7" w:rsidRDefault="00693FA2" w:rsidP="00693FA2">
      <w:pPr>
        <w:pStyle w:val="PargrafodaLista"/>
        <w:spacing w:line="320" w:lineRule="exact"/>
        <w:ind w:left="0" w:firstLine="709"/>
        <w:jc w:val="both"/>
        <w:rPr>
          <w:rFonts w:ascii="Arial" w:eastAsia="Times" w:hAnsi="Arial" w:cs="Arial"/>
          <w:bCs/>
          <w:iCs/>
          <w:color w:val="000000"/>
          <w:sz w:val="22"/>
          <w:szCs w:val="22"/>
        </w:rPr>
      </w:pPr>
    </w:p>
    <w:p w14:paraId="4E8068B6" w14:textId="77777777" w:rsidR="00693FA2" w:rsidRPr="004B0CA7" w:rsidRDefault="00693FA2" w:rsidP="00693FA2">
      <w:pPr>
        <w:pStyle w:val="PargrafodaLista"/>
        <w:spacing w:line="320" w:lineRule="exact"/>
        <w:ind w:left="0" w:firstLine="709"/>
        <w:jc w:val="both"/>
        <w:rPr>
          <w:rFonts w:ascii="Arial" w:eastAsia="Times" w:hAnsi="Arial" w:cs="Arial"/>
          <w:bCs/>
          <w:iCs/>
          <w:color w:val="000000"/>
          <w:sz w:val="22"/>
          <w:szCs w:val="22"/>
        </w:rPr>
      </w:pPr>
    </w:p>
    <w:p w14:paraId="747FB91B" w14:textId="77777777" w:rsidR="00693FA2" w:rsidRPr="004B0CA7" w:rsidRDefault="00693FA2" w:rsidP="00693FA2">
      <w:pPr>
        <w:pStyle w:val="PargrafodaLista"/>
        <w:spacing w:line="320" w:lineRule="exact"/>
        <w:ind w:left="0" w:firstLine="709"/>
        <w:jc w:val="both"/>
        <w:rPr>
          <w:rFonts w:ascii="Arial" w:eastAsia="Times" w:hAnsi="Arial" w:cs="Arial"/>
          <w:bCs/>
          <w:iCs/>
          <w:color w:val="000000"/>
          <w:sz w:val="22"/>
          <w:szCs w:val="22"/>
        </w:rPr>
      </w:pPr>
    </w:p>
    <w:p w14:paraId="7B090EA3" w14:textId="2BA436AC" w:rsidR="00693FA2" w:rsidRPr="004B0CA7" w:rsidRDefault="005D5DDB" w:rsidP="005D5DDB">
      <w:pPr>
        <w:tabs>
          <w:tab w:val="left" w:pos="709"/>
        </w:tabs>
        <w:spacing w:after="0" w:line="320" w:lineRule="exact"/>
        <w:jc w:val="both"/>
        <w:rPr>
          <w:rFonts w:ascii="Arial" w:hAnsi="Arial" w:cs="Arial"/>
        </w:rPr>
      </w:pPr>
      <w:r w:rsidRPr="004B0CA7">
        <w:rPr>
          <w:rFonts w:ascii="Arial" w:hAnsi="Arial" w:cs="Arial"/>
        </w:rPr>
        <w:tab/>
      </w:r>
      <w:r w:rsidR="00693FA2" w:rsidRPr="004B0CA7">
        <w:rPr>
          <w:rFonts w:ascii="Arial" w:hAnsi="Arial" w:cs="Arial"/>
        </w:rPr>
        <w:t>Prosseguindo, destacamos que a parte</w:t>
      </w:r>
      <w:r w:rsidR="00693FA2" w:rsidRPr="004B0CA7">
        <w:rPr>
          <w:rFonts w:ascii="Arial" w:hAnsi="Arial" w:cs="Arial"/>
        </w:rPr>
        <w:t xml:space="preserve"> requer</w:t>
      </w:r>
      <w:r w:rsidR="00693FA2" w:rsidRPr="004B0CA7">
        <w:rPr>
          <w:rFonts w:ascii="Arial" w:hAnsi="Arial" w:cs="Arial"/>
        </w:rPr>
        <w:t>ente</w:t>
      </w:r>
      <w:r w:rsidR="00693FA2" w:rsidRPr="004B0CA7">
        <w:rPr>
          <w:rFonts w:ascii="Arial" w:hAnsi="Arial" w:cs="Arial"/>
        </w:rPr>
        <w:t xml:space="preserve"> </w:t>
      </w:r>
      <w:r w:rsidR="00693FA2" w:rsidRPr="004B0CA7">
        <w:rPr>
          <w:rFonts w:ascii="Arial" w:hAnsi="Arial" w:cs="Arial"/>
        </w:rPr>
        <w:t>pleiteou o deferimento de liminar sem atentar-se aos seus critérios</w:t>
      </w:r>
      <w:r w:rsidR="00693FA2" w:rsidRPr="004B0CA7">
        <w:rPr>
          <w:rFonts w:ascii="Arial" w:hAnsi="Arial" w:cs="Arial"/>
        </w:rPr>
        <w:t xml:space="preserve"> </w:t>
      </w:r>
      <w:r w:rsidR="00693FA2" w:rsidRPr="004B0CA7">
        <w:rPr>
          <w:rFonts w:ascii="Arial" w:hAnsi="Arial" w:cs="Arial"/>
        </w:rPr>
        <w:t>autorizadores, sabidamente o</w:t>
      </w:r>
      <w:r w:rsidR="00693FA2" w:rsidRPr="004B0CA7">
        <w:rPr>
          <w:rFonts w:ascii="Arial" w:hAnsi="Arial" w:cs="Arial"/>
        </w:rPr>
        <w:t xml:space="preserve"> </w:t>
      </w:r>
      <w:r w:rsidR="00693FA2" w:rsidRPr="004B0CA7">
        <w:rPr>
          <w:rFonts w:ascii="Arial" w:hAnsi="Arial" w:cs="Arial"/>
          <w:i/>
        </w:rPr>
        <w:t>periculum in mora</w:t>
      </w:r>
      <w:r w:rsidR="00693FA2" w:rsidRPr="004B0CA7">
        <w:rPr>
          <w:rFonts w:ascii="Arial" w:hAnsi="Arial" w:cs="Arial"/>
        </w:rPr>
        <w:t xml:space="preserve"> e </w:t>
      </w:r>
      <w:r w:rsidR="00693FA2" w:rsidRPr="004B0CA7">
        <w:rPr>
          <w:rFonts w:ascii="Arial" w:hAnsi="Arial" w:cs="Arial"/>
          <w:i/>
        </w:rPr>
        <w:t>fumus boni iuris</w:t>
      </w:r>
      <w:r w:rsidR="00693FA2" w:rsidRPr="004B0CA7">
        <w:rPr>
          <w:rFonts w:ascii="Arial" w:hAnsi="Arial" w:cs="Arial"/>
          <w:i/>
        </w:rPr>
        <w:t>.</w:t>
      </w:r>
    </w:p>
    <w:p w14:paraId="0EC99DFC" w14:textId="77777777" w:rsidR="00693FA2" w:rsidRPr="004B0CA7" w:rsidRDefault="00693FA2" w:rsidP="00693FA2">
      <w:pPr>
        <w:tabs>
          <w:tab w:val="left" w:pos="709"/>
        </w:tabs>
        <w:spacing w:after="0" w:line="320" w:lineRule="exact"/>
        <w:jc w:val="both"/>
        <w:rPr>
          <w:rFonts w:ascii="Arial" w:hAnsi="Arial" w:cs="Arial"/>
        </w:rPr>
      </w:pPr>
    </w:p>
    <w:p w14:paraId="258388F7" w14:textId="55D2388E" w:rsidR="00693FA2" w:rsidRPr="004B0CA7" w:rsidRDefault="005D5DDB" w:rsidP="005D5DDB">
      <w:pPr>
        <w:tabs>
          <w:tab w:val="left" w:pos="709"/>
        </w:tabs>
        <w:spacing w:after="0" w:line="320" w:lineRule="exact"/>
        <w:jc w:val="both"/>
        <w:rPr>
          <w:rFonts w:ascii="Arial" w:hAnsi="Arial" w:cs="Arial"/>
        </w:rPr>
      </w:pPr>
      <w:r w:rsidRPr="004B0CA7">
        <w:rPr>
          <w:rFonts w:ascii="Arial" w:hAnsi="Arial" w:cs="Arial"/>
        </w:rPr>
        <w:tab/>
        <w:t>Percebe-se facilmente que não deve prosperar o</w:t>
      </w:r>
      <w:r w:rsidR="00693FA2" w:rsidRPr="004B0CA7">
        <w:rPr>
          <w:rFonts w:ascii="Arial" w:hAnsi="Arial" w:cs="Arial"/>
        </w:rPr>
        <w:t xml:space="preserve"> deferimento da antecipação de tutela</w:t>
      </w:r>
      <w:r w:rsidRPr="004B0CA7">
        <w:rPr>
          <w:rFonts w:ascii="Arial" w:hAnsi="Arial" w:cs="Arial"/>
        </w:rPr>
        <w:t>,</w:t>
      </w:r>
      <w:r w:rsidR="00693FA2" w:rsidRPr="004B0CA7">
        <w:rPr>
          <w:rFonts w:ascii="Arial" w:hAnsi="Arial" w:cs="Arial"/>
        </w:rPr>
        <w:t xml:space="preserve"> tendo em vista a ausência do alegado perigo de dano, muito menos a probabilidade do direito.</w:t>
      </w:r>
      <w:r w:rsidRPr="004B0CA7">
        <w:rPr>
          <w:rFonts w:ascii="Arial" w:hAnsi="Arial" w:cs="Arial"/>
        </w:rPr>
        <w:t xml:space="preserve"> A verdade é que existem inúmeras questões a serem dirimidas que indicarão a impertinência do pleito da parte autora, de modo que o deferimento de uma tutela satisfativa poderá vir a se apresentar como irreversível.</w:t>
      </w:r>
    </w:p>
    <w:p w14:paraId="5083B138" w14:textId="77777777" w:rsidR="005D5DDB" w:rsidRPr="004B0CA7" w:rsidRDefault="005D5DDB" w:rsidP="005D5DDB">
      <w:pPr>
        <w:pStyle w:val="PargrafodaLista"/>
        <w:rPr>
          <w:rFonts w:ascii="Arial" w:hAnsi="Arial" w:cs="Arial"/>
          <w:sz w:val="22"/>
          <w:szCs w:val="22"/>
        </w:rPr>
      </w:pPr>
    </w:p>
    <w:p w14:paraId="6E0853CC" w14:textId="7CD071C7" w:rsidR="005D5DDB" w:rsidRPr="004B0CA7" w:rsidRDefault="005D5DDB" w:rsidP="005D5DDB">
      <w:pPr>
        <w:tabs>
          <w:tab w:val="left" w:pos="709"/>
        </w:tabs>
        <w:spacing w:after="0" w:line="320" w:lineRule="exact"/>
        <w:jc w:val="both"/>
        <w:rPr>
          <w:rFonts w:ascii="Arial" w:hAnsi="Arial" w:cs="Arial"/>
        </w:rPr>
      </w:pPr>
      <w:r w:rsidRPr="004B0CA7">
        <w:rPr>
          <w:rFonts w:ascii="Arial" w:hAnsi="Arial" w:cs="Arial"/>
        </w:rPr>
        <w:tab/>
        <w:t>Ademais, não há qualquer prejuízo à parte autora com o regular andamento processual, motivo pelo qual o deferimento da antecipação dos efeitos da tutela – medida de exceção – não merece prosperar.</w:t>
      </w:r>
    </w:p>
    <w:p w14:paraId="07F0FD97" w14:textId="77777777" w:rsidR="00693FA2" w:rsidRPr="004B0CA7" w:rsidRDefault="00693FA2" w:rsidP="00693FA2">
      <w:pPr>
        <w:tabs>
          <w:tab w:val="left" w:pos="709"/>
          <w:tab w:val="left" w:pos="900"/>
        </w:tabs>
        <w:spacing w:line="320" w:lineRule="exact"/>
        <w:jc w:val="both"/>
        <w:rPr>
          <w:rFonts w:ascii="Arial" w:hAnsi="Arial" w:cs="Arial"/>
        </w:rPr>
      </w:pPr>
    </w:p>
    <w:p w14:paraId="433D3790" w14:textId="63A9E975" w:rsidR="00693FA2" w:rsidRPr="004B0CA7" w:rsidRDefault="005D5DDB" w:rsidP="005D5DDB">
      <w:pPr>
        <w:tabs>
          <w:tab w:val="left" w:pos="709"/>
        </w:tabs>
        <w:spacing w:after="0" w:line="320" w:lineRule="exact"/>
        <w:jc w:val="both"/>
        <w:rPr>
          <w:rFonts w:ascii="Arial" w:hAnsi="Arial" w:cs="Arial"/>
        </w:rPr>
      </w:pPr>
      <w:r w:rsidRPr="004B0CA7">
        <w:rPr>
          <w:rFonts w:ascii="Arial" w:hAnsi="Arial" w:cs="Arial"/>
        </w:rPr>
        <w:tab/>
      </w:r>
      <w:r w:rsidR="00693FA2" w:rsidRPr="004B0CA7">
        <w:rPr>
          <w:rFonts w:ascii="Arial" w:hAnsi="Arial" w:cs="Arial"/>
        </w:rPr>
        <w:t xml:space="preserve">Nesse contexto, </w:t>
      </w:r>
      <w:r w:rsidRPr="004B0CA7">
        <w:rPr>
          <w:rFonts w:ascii="Arial" w:hAnsi="Arial" w:cs="Arial"/>
        </w:rPr>
        <w:t>o Egrégio</w:t>
      </w:r>
      <w:r w:rsidR="00693FA2" w:rsidRPr="004B0CA7">
        <w:rPr>
          <w:rFonts w:ascii="Arial" w:hAnsi="Arial" w:cs="Arial"/>
        </w:rPr>
        <w:t xml:space="preserve"> Tribunal</w:t>
      </w:r>
      <w:r w:rsidRPr="004B0CA7">
        <w:rPr>
          <w:rFonts w:ascii="Arial" w:hAnsi="Arial" w:cs="Arial"/>
        </w:rPr>
        <w:t xml:space="preserve"> de Justiça do Estado do Rio de Janeiro, que pela pertinência indicamos a título jurisprudencial:</w:t>
      </w:r>
      <w:r w:rsidR="00693FA2" w:rsidRPr="004B0CA7">
        <w:rPr>
          <w:rFonts w:ascii="Arial" w:hAnsi="Arial" w:cs="Arial"/>
        </w:rPr>
        <w:t xml:space="preserve"> “</w:t>
      </w:r>
      <w:r w:rsidR="00693FA2" w:rsidRPr="004B0CA7">
        <w:rPr>
          <w:rFonts w:ascii="Arial" w:hAnsi="Arial" w:cs="Arial"/>
          <w:u w:val="single"/>
        </w:rPr>
        <w:t>concessão ou o </w:t>
      </w:r>
      <w:r w:rsidR="00693FA2" w:rsidRPr="004B0CA7">
        <w:rPr>
          <w:rFonts w:ascii="Arial" w:hAnsi="Arial" w:cs="Arial"/>
          <w:b/>
          <w:bCs/>
          <w:u w:val="single"/>
        </w:rPr>
        <w:t>indeferimento</w:t>
      </w:r>
      <w:r w:rsidR="00693FA2" w:rsidRPr="004B0CA7">
        <w:rPr>
          <w:rFonts w:ascii="Arial" w:hAnsi="Arial" w:cs="Arial"/>
          <w:u w:val="single"/>
        </w:rPr>
        <w:t> de </w:t>
      </w:r>
      <w:r w:rsidR="00693FA2" w:rsidRPr="004B0CA7">
        <w:rPr>
          <w:rFonts w:ascii="Arial" w:hAnsi="Arial" w:cs="Arial"/>
          <w:b/>
          <w:bCs/>
          <w:u w:val="single"/>
        </w:rPr>
        <w:t>liminar</w:t>
      </w:r>
      <w:r w:rsidR="00693FA2" w:rsidRPr="004B0CA7">
        <w:rPr>
          <w:rFonts w:ascii="Arial" w:hAnsi="Arial" w:cs="Arial"/>
          <w:u w:val="single"/>
        </w:rPr>
        <w:t> que se insere no poder discricionário que a lei confere ao julgador, de modo que a sua reforma somente se justifica se teratológica a decisão, ou manifestamente contrária à prova dos autos</w:t>
      </w:r>
      <w:r w:rsidR="00693FA2" w:rsidRPr="004B0CA7">
        <w:rPr>
          <w:rFonts w:ascii="Arial" w:hAnsi="Arial" w:cs="Arial"/>
        </w:rPr>
        <w:t>” (Súmula nº 59 do TJRJ).</w:t>
      </w:r>
    </w:p>
    <w:p w14:paraId="1E896183" w14:textId="77777777" w:rsidR="00693FA2" w:rsidRPr="004B0CA7" w:rsidRDefault="00693FA2" w:rsidP="00693FA2">
      <w:pPr>
        <w:tabs>
          <w:tab w:val="left" w:pos="709"/>
          <w:tab w:val="left" w:pos="900"/>
        </w:tabs>
        <w:spacing w:line="320" w:lineRule="exact"/>
        <w:jc w:val="both"/>
        <w:rPr>
          <w:rFonts w:ascii="Arial" w:hAnsi="Arial" w:cs="Arial"/>
        </w:rPr>
      </w:pPr>
    </w:p>
    <w:p w14:paraId="176E9C09" w14:textId="086E2B9D" w:rsidR="00693FA2" w:rsidRDefault="005D5DDB" w:rsidP="005D5DDB">
      <w:pPr>
        <w:tabs>
          <w:tab w:val="left" w:pos="709"/>
        </w:tabs>
        <w:spacing w:after="0" w:line="320" w:lineRule="exact"/>
        <w:jc w:val="both"/>
        <w:rPr>
          <w:rFonts w:ascii="Arial" w:hAnsi="Arial" w:cs="Arial"/>
        </w:rPr>
      </w:pPr>
      <w:r w:rsidRPr="004B0CA7">
        <w:rPr>
          <w:rFonts w:ascii="Arial" w:hAnsi="Arial" w:cs="Arial"/>
        </w:rPr>
        <w:tab/>
      </w:r>
      <w:r w:rsidR="00693FA2" w:rsidRPr="004B0CA7">
        <w:rPr>
          <w:rFonts w:ascii="Arial" w:hAnsi="Arial" w:cs="Arial"/>
        </w:rPr>
        <w:t xml:space="preserve">Por todo o exposto, tendo em vista a ausência de provas consistentes nos autos, de modo a preencher os requisitos autorizadores da concessão da tutela de urgência, conforme preceitua o art. 300, CPC, </w:t>
      </w:r>
      <w:r w:rsidR="00693FA2" w:rsidRPr="004B0CA7">
        <w:rPr>
          <w:rFonts w:ascii="Arial" w:hAnsi="Arial" w:cs="Arial"/>
          <w:b/>
          <w:bCs/>
          <w:u w:val="single"/>
        </w:rPr>
        <w:t xml:space="preserve">o </w:t>
      </w:r>
      <w:r w:rsidRPr="004B0CA7">
        <w:rPr>
          <w:rFonts w:ascii="Arial" w:hAnsi="Arial" w:cs="Arial"/>
          <w:b/>
          <w:bCs/>
          <w:u w:val="single"/>
        </w:rPr>
        <w:t>pleito de concessão de liminar</w:t>
      </w:r>
      <w:r w:rsidR="00693FA2" w:rsidRPr="004B0CA7">
        <w:rPr>
          <w:rFonts w:ascii="Arial" w:hAnsi="Arial" w:cs="Arial"/>
          <w:b/>
          <w:bCs/>
          <w:u w:val="single"/>
        </w:rPr>
        <w:t xml:space="preserve"> deve ser de plano desprovido</w:t>
      </w:r>
      <w:r w:rsidR="00693FA2" w:rsidRPr="004B0CA7">
        <w:rPr>
          <w:rFonts w:ascii="Arial" w:hAnsi="Arial" w:cs="Arial"/>
        </w:rPr>
        <w:t>.</w:t>
      </w:r>
    </w:p>
    <w:p w14:paraId="16C794CE" w14:textId="77777777" w:rsidR="004B0CA7" w:rsidRDefault="004B0CA7" w:rsidP="005D5DDB">
      <w:pPr>
        <w:tabs>
          <w:tab w:val="left" w:pos="709"/>
        </w:tabs>
        <w:spacing w:after="0" w:line="320" w:lineRule="exact"/>
        <w:jc w:val="both"/>
        <w:rPr>
          <w:rFonts w:ascii="Arial" w:hAnsi="Arial" w:cs="Arial"/>
        </w:rPr>
      </w:pPr>
    </w:p>
    <w:p w14:paraId="1BAA2103" w14:textId="7E21E200" w:rsidR="004B0CA7" w:rsidRPr="004B0CA7" w:rsidRDefault="004B0CA7" w:rsidP="005D5DDB">
      <w:pPr>
        <w:tabs>
          <w:tab w:val="left" w:pos="709"/>
        </w:tabs>
        <w:spacing w:after="0" w:line="32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Oportunamente, a ré pugna que seja oficiado o Ministério da Saúde e o Fundo Nacional do Desenvolvimento da Educação para integrar o polo passivo da presente demanda, posto que figuram como órgãos decisórios do pleito o qual o autor afirma ser beneficiário e reclama que seja efetivado.</w:t>
      </w:r>
    </w:p>
    <w:p w14:paraId="0964B6A7" w14:textId="77777777" w:rsidR="00693FA2" w:rsidRDefault="00693FA2" w:rsidP="00693FA2">
      <w:pPr>
        <w:spacing w:line="320" w:lineRule="exact"/>
        <w:jc w:val="both"/>
        <w:rPr>
          <w:rFonts w:ascii="Tahoma" w:hAnsi="Tahoma" w:cs="Tahoma"/>
          <w:b/>
          <w:smallCaps/>
          <w:u w:val="single"/>
        </w:rPr>
      </w:pPr>
    </w:p>
    <w:p w14:paraId="02D2B9DA" w14:textId="72A956B1" w:rsidR="004767F5" w:rsidRPr="00E848F1" w:rsidRDefault="00291592" w:rsidP="005D5DDB">
      <w:pPr>
        <w:spacing w:before="200" w:after="200" w:line="240" w:lineRule="auto"/>
        <w:ind w:firstLine="708"/>
        <w:jc w:val="both"/>
        <w:rPr>
          <w:rFonts w:ascii="Arial" w:hAnsi="Arial" w:cs="Arial"/>
          <w:b/>
          <w:bCs/>
          <w:noProof/>
          <w:sz w:val="24"/>
          <w:szCs w:val="24"/>
          <w:u w:val="single"/>
        </w:rPr>
      </w:pPr>
      <w:r w:rsidRPr="00E848F1">
        <w:rPr>
          <w:rFonts w:ascii="Arial" w:hAnsi="Arial" w:cs="Arial"/>
          <w:noProof/>
          <w:sz w:val="24"/>
          <w:szCs w:val="24"/>
        </w:rPr>
        <w:t xml:space="preserve">Requer a Ré que todas as intimações sejam encaminhadas ao escritório de seus patronos, sito na Rua do Passeio, 38, Torre 2, 15 andar, Sala 1509/1512 – Centro - CEP:20021-290 – RJ – Rio de Janeiro e que as publicações sejam realizadas, exclusivamente, em nome do patrono </w:t>
      </w:r>
      <w:r w:rsidRPr="00E848F1">
        <w:rPr>
          <w:rFonts w:ascii="Arial" w:hAnsi="Arial" w:cs="Arial"/>
          <w:b/>
          <w:bCs/>
          <w:noProof/>
          <w:sz w:val="24"/>
          <w:szCs w:val="24"/>
          <w:u w:val="single"/>
        </w:rPr>
        <w:t>Dr. JOÃO ALVES BARBOSA FILHO, inscrito sob o nº OAB/RS 90657-A, sob pena de nulidade das mesmas.</w:t>
      </w:r>
    </w:p>
    <w:p w14:paraId="0A02439E" w14:textId="328A3C56" w:rsidR="004767F5" w:rsidRDefault="00291592" w:rsidP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2848D490" w14:textId="1EAFEAC8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</w:rPr>
        <w:t>Nestes Termos,</w:t>
      </w:r>
      <w:r>
        <w:rPr>
          <w:rFonts w:cs="Calibri"/>
        </w:rPr>
        <w:br/>
        <w:t> Pede Deferimento,</w:t>
      </w:r>
      <w:r>
        <w:rPr>
          <w:rFonts w:cs="Calibri"/>
        </w:rPr>
        <w:br/>
      </w:r>
      <w:r>
        <w:rPr>
          <w:rFonts w:cs="Calibri"/>
        </w:rPr>
        <w:br/>
      </w:r>
      <w:r w:rsidR="004B0CA7">
        <w:rPr>
          <w:rFonts w:cs="Calibri"/>
        </w:rPr>
        <w:t>PASSO FUNDO</w:t>
      </w:r>
      <w:r>
        <w:rPr>
          <w:rFonts w:cs="Calibri"/>
        </w:rPr>
        <w:t xml:space="preserve">, </w:t>
      </w:r>
      <w:r w:rsidR="00E848F1">
        <w:rPr>
          <w:rFonts w:cs="Calibri"/>
        </w:rPr>
        <w:t>1</w:t>
      </w:r>
      <w:r w:rsidR="004B0CA7">
        <w:rPr>
          <w:rFonts w:cs="Calibri"/>
        </w:rPr>
        <w:t>1</w:t>
      </w:r>
      <w:r>
        <w:rPr>
          <w:rFonts w:cs="Calibri"/>
        </w:rPr>
        <w:t xml:space="preserve"> de </w:t>
      </w:r>
      <w:proofErr w:type="gramStart"/>
      <w:r w:rsidR="006A71F7">
        <w:rPr>
          <w:rFonts w:cs="Calibri"/>
        </w:rPr>
        <w:t>Abril</w:t>
      </w:r>
      <w:proofErr w:type="gramEnd"/>
      <w:r>
        <w:rPr>
          <w:rFonts w:cs="Calibri"/>
        </w:rPr>
        <w:t xml:space="preserve"> de 2023.</w:t>
      </w:r>
      <w:r>
        <w:rPr>
          <w:rFonts w:cs="Calibri"/>
        </w:rPr>
        <w:br/>
      </w:r>
      <w:r>
        <w:rPr>
          <w:rFonts w:cs="Calibri"/>
        </w:rPr>
        <w:br/>
      </w:r>
      <w:r>
        <w:rPr>
          <w:rFonts w:cs="Calibri"/>
          <w:b/>
          <w:bCs/>
        </w:rPr>
        <w:t>JOÃO BARBOSA</w:t>
      </w:r>
      <w:r>
        <w:rPr>
          <w:rFonts w:cs="Calibri"/>
          <w:b/>
          <w:bCs/>
        </w:rPr>
        <w:br/>
        <w:t>OAB/RS 90657-A</w:t>
      </w:r>
      <w:r>
        <w:rPr>
          <w:rFonts w:cs="Calibri"/>
          <w:b/>
          <w:bCs/>
        </w:rPr>
        <w:br/>
      </w:r>
      <w:r>
        <w:rPr>
          <w:rFonts w:cs="Calibri"/>
          <w:sz w:val="20"/>
          <w:szCs w:val="20"/>
        </w:rPr>
        <w:t> </w:t>
      </w:r>
    </w:p>
    <w:p w14:paraId="0D0F5B3A" w14:textId="77777777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212B7B6A" w14:textId="77777777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C2A65F4" w14:textId="77777777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sectPr w:rsidR="004767F5" w:rsidSect="0076787A">
      <w:footerReference w:type="default" r:id="rId9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B22D1" w14:textId="77777777" w:rsidR="00606A04" w:rsidRDefault="00291592">
      <w:pPr>
        <w:spacing w:after="0" w:line="240" w:lineRule="auto"/>
      </w:pPr>
      <w:r>
        <w:separator/>
      </w:r>
    </w:p>
  </w:endnote>
  <w:endnote w:type="continuationSeparator" w:id="0">
    <w:p w14:paraId="592661A2" w14:textId="77777777" w:rsidR="00606A04" w:rsidRDefault="00291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58477" w14:textId="77777777" w:rsidR="00FA2C18" w:rsidRDefault="00291592" w:rsidP="00FE5317">
    <w:pPr>
      <w:pStyle w:val="Rodap"/>
      <w:jc w:val="center"/>
      <w:rPr>
        <w:sz w:val="18"/>
      </w:rPr>
    </w:pPr>
    <w:r w:rsidRPr="00FA2C18">
      <w:rPr>
        <w:sz w:val="18"/>
      </w:rPr>
      <w:t>Rua do Passeio, 38, Torre 2, 15º andar - Sala 1509/1512 – Centro - RJ – Rio de Janeiro - CEP:20021-290</w:t>
    </w:r>
  </w:p>
  <w:p w14:paraId="73479ECC" w14:textId="77777777" w:rsidR="00FE5317" w:rsidRPr="00FE5317" w:rsidRDefault="00291592" w:rsidP="00FE5317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14:paraId="1DA3E296" w14:textId="77777777" w:rsidR="00FE5317" w:rsidRDefault="00FE53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A18E7" w14:textId="77777777" w:rsidR="007E1F86" w:rsidRDefault="00291592" w:rsidP="00FE5317">
      <w:pPr>
        <w:spacing w:after="0" w:line="240" w:lineRule="auto"/>
      </w:pPr>
      <w:r>
        <w:separator/>
      </w:r>
    </w:p>
  </w:footnote>
  <w:footnote w:type="continuationSeparator" w:id="0">
    <w:p w14:paraId="775044CC" w14:textId="77777777" w:rsidR="007E1F86" w:rsidRDefault="00291592" w:rsidP="00FE53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CF8827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41A45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570EC1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65257B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868FA6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558D7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9EEA4D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84245D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02C16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13611A32"/>
    <w:multiLevelType w:val="hybridMultilevel"/>
    <w:tmpl w:val="FD266818"/>
    <w:lvl w:ilvl="0" w:tplc="F52637E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7275F6"/>
    <w:multiLevelType w:val="hybridMultilevel"/>
    <w:tmpl w:val="67ACA37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FF5FAF"/>
    <w:multiLevelType w:val="hybridMultilevel"/>
    <w:tmpl w:val="34EEE2BC"/>
    <w:lvl w:ilvl="0" w:tplc="0416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3600"/>
        </w:tabs>
        <w:ind w:left="3600" w:hanging="360"/>
      </w:pPr>
    </w:lvl>
    <w:lvl w:ilvl="2" w:tplc="0416001B">
      <w:start w:val="1"/>
      <w:numFmt w:val="decimal"/>
      <w:lvlText w:val="%3."/>
      <w:lvlJc w:val="left"/>
      <w:pPr>
        <w:tabs>
          <w:tab w:val="num" w:pos="4320"/>
        </w:tabs>
        <w:ind w:left="4320" w:hanging="360"/>
      </w:pPr>
    </w:lvl>
    <w:lvl w:ilvl="3" w:tplc="0416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60019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plc="0416001B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plc="0416000F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60019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plc="0416001B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4" w15:restartNumberingAfterBreak="0">
    <w:nsid w:val="6B474143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761F53B7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1174879607">
    <w:abstractNumId w:val="0"/>
  </w:num>
  <w:num w:numId="2" w16cid:durableId="10215132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6324274">
    <w:abstractNumId w:val="5"/>
    <w:lvlOverride w:ilvl="0">
      <w:startOverride w:val="1"/>
    </w:lvlOverride>
  </w:num>
  <w:num w:numId="4" w16cid:durableId="1924485367">
    <w:abstractNumId w:val="4"/>
    <w:lvlOverride w:ilvl="0">
      <w:startOverride w:val="1"/>
    </w:lvlOverride>
  </w:num>
  <w:num w:numId="5" w16cid:durableId="234554236">
    <w:abstractNumId w:val="1"/>
  </w:num>
  <w:num w:numId="6" w16cid:durableId="1553881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B7"/>
    <w:rsid w:val="000C60A8"/>
    <w:rsid w:val="00291592"/>
    <w:rsid w:val="00326B23"/>
    <w:rsid w:val="003349B7"/>
    <w:rsid w:val="0037684E"/>
    <w:rsid w:val="00387F34"/>
    <w:rsid w:val="003F5DCE"/>
    <w:rsid w:val="00404C94"/>
    <w:rsid w:val="00410B39"/>
    <w:rsid w:val="004767F5"/>
    <w:rsid w:val="00486EBB"/>
    <w:rsid w:val="004B0CA7"/>
    <w:rsid w:val="0052134B"/>
    <w:rsid w:val="00530F86"/>
    <w:rsid w:val="005663F9"/>
    <w:rsid w:val="005869BC"/>
    <w:rsid w:val="005D4224"/>
    <w:rsid w:val="005D5DDB"/>
    <w:rsid w:val="005E1F47"/>
    <w:rsid w:val="00606A04"/>
    <w:rsid w:val="00654BB2"/>
    <w:rsid w:val="00693FA2"/>
    <w:rsid w:val="006A71F7"/>
    <w:rsid w:val="006B1470"/>
    <w:rsid w:val="006F66E3"/>
    <w:rsid w:val="006F7A6B"/>
    <w:rsid w:val="00701612"/>
    <w:rsid w:val="0076787A"/>
    <w:rsid w:val="007B689A"/>
    <w:rsid w:val="007E1F86"/>
    <w:rsid w:val="00873596"/>
    <w:rsid w:val="008E1AB2"/>
    <w:rsid w:val="008F7080"/>
    <w:rsid w:val="00956E0D"/>
    <w:rsid w:val="009A636B"/>
    <w:rsid w:val="009D3C6C"/>
    <w:rsid w:val="009E3B76"/>
    <w:rsid w:val="00AF1F4A"/>
    <w:rsid w:val="00BE42B5"/>
    <w:rsid w:val="00E67247"/>
    <w:rsid w:val="00E848F1"/>
    <w:rsid w:val="00EB6B0C"/>
    <w:rsid w:val="00EC3A99"/>
    <w:rsid w:val="00F26943"/>
    <w:rsid w:val="00FA2C18"/>
    <w:rsid w:val="00FE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CCEBF"/>
  <w15:docId w15:val="{B1D53E81-F9B1-477C-BA7B-E1908A803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F1F4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character" w:customStyle="1" w:styleId="var">
    <w:name w:val="var"/>
    <w:basedOn w:val="Fontepargpadro"/>
  </w:style>
  <w:style w:type="character" w:styleId="Refdenotaderodap">
    <w:name w:val="footnote reference"/>
    <w:basedOn w:val="Fontepargpadro"/>
    <w:rsid w:val="00805BCE"/>
    <w:rPr>
      <w:vertAlign w:val="superscript"/>
    </w:rPr>
  </w:style>
  <w:style w:type="paragraph" w:styleId="Textodenotaderodap">
    <w:name w:val="footnote text"/>
    <w:basedOn w:val="Normal"/>
    <w:rsid w:val="00805BCE"/>
    <w:rPr>
      <w:sz w:val="20"/>
      <w:szCs w:val="20"/>
    </w:rPr>
  </w:style>
  <w:style w:type="character" w:customStyle="1" w:styleId="Ttulo3Char">
    <w:name w:val="Título 3 Char"/>
    <w:basedOn w:val="Fontepargpadro"/>
    <w:link w:val="Ttulo3"/>
    <w:semiHidden/>
    <w:rsid w:val="00AF1F4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Corpodetexto">
    <w:name w:val="Body Text"/>
    <w:basedOn w:val="Normal"/>
    <w:link w:val="CorpodetextoChar"/>
    <w:rsid w:val="00AF1F4A"/>
    <w:pPr>
      <w:tabs>
        <w:tab w:val="left" w:pos="429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Batang" w:hAnsi="Arial"/>
      <w:sz w:val="28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AF1F4A"/>
    <w:rPr>
      <w:rFonts w:ascii="Arial" w:eastAsia="Batang" w:hAnsi="Arial"/>
      <w:sz w:val="28"/>
    </w:rPr>
  </w:style>
  <w:style w:type="paragraph" w:styleId="Recuodecorpodetexto3">
    <w:name w:val="Body Text Indent 3"/>
    <w:basedOn w:val="Normal"/>
    <w:link w:val="Recuodecorpodetexto3Char"/>
    <w:rsid w:val="00AF1F4A"/>
    <w:pPr>
      <w:spacing w:after="120" w:line="240" w:lineRule="auto"/>
      <w:ind w:left="283"/>
    </w:pPr>
    <w:rPr>
      <w:rFonts w:ascii="Times New Roman" w:eastAsia="Batang" w:hAnsi="Times New Roman"/>
      <w:sz w:val="16"/>
      <w:szCs w:val="16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AF1F4A"/>
    <w:rPr>
      <w:rFonts w:ascii="Times New Roman" w:eastAsia="Batang" w:hAnsi="Times New Roman"/>
      <w:sz w:val="16"/>
      <w:szCs w:val="16"/>
    </w:rPr>
  </w:style>
  <w:style w:type="table" w:styleId="Tabelacomgrade">
    <w:name w:val="Table Grid"/>
    <w:basedOn w:val="Tabelanormal"/>
    <w:rsid w:val="00AF1F4A"/>
    <w:rPr>
      <w:rFonts w:ascii="Times New Roman" w:eastAsia="Batang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rsid w:val="00AF1F4A"/>
    <w:pPr>
      <w:spacing w:after="120" w:line="240" w:lineRule="auto"/>
      <w:ind w:left="283"/>
    </w:pPr>
    <w:rPr>
      <w:rFonts w:ascii="Times New Roman" w:eastAsia="Batang" w:hAnsi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AF1F4A"/>
    <w:rPr>
      <w:rFonts w:ascii="Times New Roman" w:eastAsia="Batang" w:hAnsi="Times New Roman"/>
    </w:rPr>
  </w:style>
  <w:style w:type="paragraph" w:styleId="Recuodecorpodetexto2">
    <w:name w:val="Body Text Indent 2"/>
    <w:basedOn w:val="Normal"/>
    <w:link w:val="Recuodecorpodetexto2Char"/>
    <w:rsid w:val="00AF1F4A"/>
    <w:pPr>
      <w:spacing w:after="120" w:line="480" w:lineRule="auto"/>
      <w:ind w:left="283"/>
    </w:pPr>
    <w:rPr>
      <w:rFonts w:ascii="Times New Roman" w:eastAsia="Batang" w:hAnsi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AF1F4A"/>
    <w:rPr>
      <w:rFonts w:ascii="Times New Roman" w:eastAsia="Batang" w:hAnsi="Times New Roman"/>
    </w:rPr>
  </w:style>
  <w:style w:type="paragraph" w:styleId="PargrafodaLista">
    <w:name w:val="List Paragraph"/>
    <w:basedOn w:val="Normal"/>
    <w:link w:val="PargrafodaListaChar"/>
    <w:uiPriority w:val="99"/>
    <w:qFormat/>
    <w:rsid w:val="00AF1F4A"/>
    <w:pPr>
      <w:spacing w:after="0" w:line="240" w:lineRule="auto"/>
      <w:ind w:left="720"/>
      <w:contextualSpacing/>
    </w:pPr>
    <w:rPr>
      <w:rFonts w:ascii="Times New Roman" w:eastAsia="Batang" w:hAnsi="Times New Roman"/>
      <w:sz w:val="20"/>
      <w:szCs w:val="20"/>
      <w:lang w:eastAsia="pt-BR"/>
    </w:rPr>
  </w:style>
  <w:style w:type="paragraph" w:styleId="Textoembloco">
    <w:name w:val="Block Text"/>
    <w:basedOn w:val="Normal"/>
    <w:rsid w:val="00AF1F4A"/>
    <w:pPr>
      <w:spacing w:after="0" w:line="240" w:lineRule="auto"/>
      <w:ind w:left="1080" w:right="393"/>
      <w:jc w:val="both"/>
    </w:pPr>
    <w:rPr>
      <w:rFonts w:ascii="Courier New" w:eastAsia="Arial Unicode MS" w:hAnsi="Courier New" w:cs="Courier New"/>
      <w:b/>
      <w:bCs/>
      <w:lang w:eastAsia="pt-BR"/>
    </w:rPr>
  </w:style>
  <w:style w:type="paragraph" w:customStyle="1" w:styleId="citao">
    <w:name w:val="citação"/>
    <w:basedOn w:val="Normal"/>
    <w:rsid w:val="00AF1F4A"/>
    <w:pPr>
      <w:tabs>
        <w:tab w:val="left" w:pos="2268"/>
      </w:tabs>
      <w:spacing w:after="0" w:line="240" w:lineRule="auto"/>
      <w:ind w:left="1701" w:firstLine="567"/>
      <w:jc w:val="both"/>
    </w:pPr>
    <w:rPr>
      <w:rFonts w:ascii="Arial" w:eastAsia="Times New Roman" w:hAnsi="Arial"/>
      <w:b/>
      <w:i/>
      <w:position w:val="-2"/>
      <w:sz w:val="24"/>
      <w:szCs w:val="20"/>
      <w:lang w:val="pt-PT" w:eastAsia="pt-BR"/>
    </w:rPr>
  </w:style>
  <w:style w:type="character" w:customStyle="1" w:styleId="par00c1grafochar1">
    <w:name w:val="par_00c1grafo__char1"/>
    <w:rsid w:val="00AF1F4A"/>
    <w:rPr>
      <w:rFonts w:ascii="Times New Roman" w:hAnsi="Times New Roman" w:cs="Times New Roman" w:hint="default"/>
      <w:spacing w:val="0"/>
      <w:sz w:val="24"/>
      <w:szCs w:val="24"/>
    </w:rPr>
  </w:style>
  <w:style w:type="character" w:customStyle="1" w:styleId="PargrafodaListaChar">
    <w:name w:val="Parágrafo da Lista Char"/>
    <w:link w:val="PargrafodaLista"/>
    <w:uiPriority w:val="1"/>
    <w:qFormat/>
    <w:rsid w:val="00AF1F4A"/>
    <w:rPr>
      <w:rFonts w:ascii="Times New Roman" w:eastAsia="Batang" w:hAnsi="Times New Roman"/>
    </w:rPr>
  </w:style>
  <w:style w:type="paragraph" w:styleId="Corpodetexto2">
    <w:name w:val="Body Text 2"/>
    <w:basedOn w:val="Normal"/>
    <w:link w:val="Corpodetexto2Char"/>
    <w:rsid w:val="00693FA2"/>
    <w:pPr>
      <w:spacing w:after="120" w:line="480" w:lineRule="auto"/>
    </w:pPr>
    <w:rPr>
      <w:rFonts w:ascii="Cambria" w:eastAsia="Cambria" w:hAnsi="Cambria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rsid w:val="00693FA2"/>
    <w:rPr>
      <w:rFonts w:ascii="Cambria" w:eastAsia="Cambria" w:hAnsi="Cambr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0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03AE5-D997-4FE1-862F-68EBCCDF9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633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Araujo</dc:creator>
  <cp:lastModifiedBy>Lohan dos Santos Mota</cp:lastModifiedBy>
  <cp:revision>2</cp:revision>
  <dcterms:created xsi:type="dcterms:W3CDTF">2023-04-12T00:09:00Z</dcterms:created>
  <dcterms:modified xsi:type="dcterms:W3CDTF">2023-04-12T00:09:00Z</dcterms:modified>
</cp:coreProperties>
</file>