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3B9E" w14:textId="452A1833" w:rsidR="004767F5" w:rsidRDefault="004767F5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4767F5" w14:paraId="102EA6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1050" w14:textId="77777777" w:rsidR="004767F5" w:rsidRDefault="00291592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508D3" wp14:editId="69D058FF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5BD96" w14:textId="77777777" w:rsidR="004767F5" w:rsidRDefault="00291592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507234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DDFF61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3F1824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3201CF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202E4A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40B913E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ACFF3FA" w14:textId="3AEB794C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</w:rPr>
        <w:t xml:space="preserve">EXMO. SR. DR. JUIZ FEDERAL DA </w:t>
      </w:r>
      <w:r w:rsidR="00D16769">
        <w:rPr>
          <w:rFonts w:cs="Calibri"/>
          <w:b/>
          <w:bCs/>
        </w:rPr>
        <w:t>3</w:t>
      </w:r>
      <w:r>
        <w:rPr>
          <w:rFonts w:cs="Calibri"/>
          <w:b/>
          <w:bCs/>
        </w:rPr>
        <w:t xml:space="preserve">ª VARA FEDERAL DA SUBSEÇÃO DE </w:t>
      </w:r>
      <w:r w:rsidR="00D16769">
        <w:rPr>
          <w:rFonts w:cs="Calibri"/>
          <w:b/>
          <w:bCs/>
        </w:rPr>
        <w:t>CAXIAS DO SUL</w:t>
      </w:r>
      <w:r>
        <w:rPr>
          <w:rFonts w:cs="Calibri"/>
          <w:b/>
          <w:bCs/>
        </w:rPr>
        <w:t xml:space="preserve"> – SEÇÃO JUDICIÁRIA DO RIO GRANDE DO SUL</w:t>
      </w:r>
    </w:p>
    <w:p w14:paraId="16CFB2C9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90A9153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57601DB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B320D31" w14:textId="2B925754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Processo: </w:t>
      </w:r>
      <w:r w:rsidR="00D16769">
        <w:t>5003690-16.2023.4.04.7107/RS</w:t>
      </w:r>
    </w:p>
    <w:p w14:paraId="2A10DF5F" w14:textId="36D62CEF" w:rsidR="004767F5" w:rsidRDefault="00291592" w:rsidP="006B1470">
      <w:pPr>
        <w:spacing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455FDDA" w14:textId="77777777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1F872D4" w14:textId="77777777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35A18AA" w14:textId="59DB7DCD" w:rsidR="004767F5" w:rsidRDefault="006B1470">
      <w:pPr>
        <w:spacing w:before="200" w:after="200" w:line="240" w:lineRule="auto"/>
        <w:ind w:firstLine="1701"/>
        <w:jc w:val="both"/>
        <w:rPr>
          <w:rFonts w:cs="Calibri"/>
          <w:sz w:val="20"/>
          <w:szCs w:val="20"/>
        </w:rPr>
      </w:pPr>
      <w:r w:rsidRPr="006B1470">
        <w:rPr>
          <w:b/>
          <w:bCs/>
        </w:rPr>
        <w:t>CAIXA ECONÔMICA FEDERAL – CEF</w:t>
      </w:r>
      <w:r>
        <w:t>, instituição financeira sob a forma de empresa pública, inscrita no CGC/MF sob n.º 00.360.305/1780-00, com sede em Brasília/DF e Escritório de Negócios neste Estado, com endereço na Rua dos Andradas, n.º 1000, em Porto Alegre/RS,</w:t>
      </w:r>
      <w:r w:rsidR="00291592" w:rsidRPr="00E54F07">
        <w:rPr>
          <w:rFonts w:cs="Calibri"/>
        </w:rPr>
        <w:t xml:space="preserve">, onde recebe citações, intimações e notificações de estilo, por seu advogado que esta subscreve, mandato incluso nos autos da </w:t>
      </w:r>
      <w:r w:rsidR="00291592" w:rsidRPr="00E54F07">
        <w:rPr>
          <w:rFonts w:cs="Calibri"/>
          <w:b/>
          <w:bCs/>
          <w:i/>
          <w:iCs/>
        </w:rPr>
        <w:t xml:space="preserve">AÇÃO DE </w:t>
      </w:r>
      <w:r>
        <w:rPr>
          <w:rFonts w:cs="Calibri"/>
          <w:b/>
          <w:bCs/>
          <w:i/>
          <w:iCs/>
        </w:rPr>
        <w:t>INDENIZAÇÃO POR DANOS MATERIAIS E MORAIS</w:t>
      </w:r>
      <w:r w:rsidR="00291592" w:rsidRPr="00E54F07">
        <w:rPr>
          <w:rFonts w:cs="Calibri"/>
          <w:b/>
          <w:bCs/>
          <w:i/>
          <w:iCs/>
        </w:rPr>
        <w:t xml:space="preserve">, </w:t>
      </w:r>
      <w:r w:rsidR="00291592" w:rsidRPr="00E54F07">
        <w:rPr>
          <w:rFonts w:cs="Calibri"/>
        </w:rPr>
        <w:t>que lhe promove</w:t>
      </w:r>
      <w:r w:rsidR="00291592">
        <w:rPr>
          <w:rFonts w:cs="Calibri"/>
        </w:rPr>
        <w:t xml:space="preserve"> </w:t>
      </w:r>
      <w:r w:rsidR="00D16769" w:rsidRPr="00D16769">
        <w:rPr>
          <w:rFonts w:cs="Calibri"/>
          <w:b/>
          <w:bCs/>
        </w:rPr>
        <w:t>ULISSES MAXIMILIANO DAL BO</w:t>
      </w:r>
      <w:r w:rsidR="00D16769">
        <w:rPr>
          <w:rFonts w:cs="Calibri"/>
          <w:b/>
          <w:bCs/>
        </w:rPr>
        <w:t xml:space="preserve"> </w:t>
      </w:r>
      <w:r w:rsidR="00D16769" w:rsidRPr="00D16769">
        <w:rPr>
          <w:rFonts w:cs="Calibri"/>
        </w:rPr>
        <w:t>e</w:t>
      </w:r>
      <w:r w:rsidR="00D16769">
        <w:rPr>
          <w:rFonts w:cs="Calibri"/>
          <w:b/>
          <w:bCs/>
        </w:rPr>
        <w:t xml:space="preserve"> </w:t>
      </w:r>
      <w:r w:rsidR="00D16769" w:rsidRPr="00D16769">
        <w:rPr>
          <w:rFonts w:cs="Calibri"/>
          <w:b/>
          <w:bCs/>
        </w:rPr>
        <w:t xml:space="preserve"> IVANIRA TERESINHA DAL BO</w:t>
      </w:r>
      <w:r w:rsidR="00291592">
        <w:rPr>
          <w:rFonts w:cs="Calibri"/>
        </w:rPr>
        <w:t xml:space="preserve">, em trâmite perante este Douto Juízo, vem, </w:t>
      </w:r>
      <w:r w:rsidR="00291592">
        <w:rPr>
          <w:rFonts w:cs="Calibri"/>
          <w:i/>
          <w:iCs/>
        </w:rPr>
        <w:t>mui</w:t>
      </w:r>
      <w:r w:rsidR="00291592">
        <w:rPr>
          <w:rFonts w:cs="Calibri"/>
        </w:rPr>
        <w:t xml:space="preserve"> respeitosamente, à presença de Vossa Excelência, apresentar</w:t>
      </w:r>
    </w:p>
    <w:p w14:paraId="72710FF1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b/>
          <w:bCs/>
        </w:rPr>
        <w:t>C O N T E S T A Ç Ã O</w:t>
      </w:r>
    </w:p>
    <w:p w14:paraId="767D76C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</w:rPr>
        <w:t>Consoante às razões de fato e de direito que passa a expor</w:t>
      </w:r>
    </w:p>
    <w:p w14:paraId="4D7532F5" w14:textId="77777777" w:rsidR="00AF1F4A" w:rsidRDefault="00AF1F4A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7C90E13B" w14:textId="77777777" w:rsidR="00AF1F4A" w:rsidRDefault="00AF1F4A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46419AA9" w14:textId="2430BB5F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b/>
          <w:bCs/>
          <w:u w:val="single"/>
        </w:rPr>
        <w:t>BREVE SÍNTESE DA DEMANDA</w:t>
      </w:r>
    </w:p>
    <w:p w14:paraId="26F78FBE" w14:textId="77777777" w:rsidR="001E273E" w:rsidRDefault="001E273E" w:rsidP="00AF1F4A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</w:p>
    <w:p w14:paraId="7A1F32E0" w14:textId="7F7102C0" w:rsidR="00AF1F4A" w:rsidRDefault="00AF1F4A" w:rsidP="00AF1F4A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  <w:r w:rsidRPr="00453501">
        <w:rPr>
          <w:rFonts w:ascii="Arial" w:hAnsi="Arial" w:cs="Arial"/>
          <w:sz w:val="24"/>
          <w:szCs w:val="24"/>
        </w:rPr>
        <w:t xml:space="preserve">O Autor </w:t>
      </w:r>
      <w:r w:rsidR="00097695">
        <w:rPr>
          <w:rFonts w:ascii="Arial" w:hAnsi="Arial" w:cs="Arial"/>
          <w:sz w:val="24"/>
          <w:szCs w:val="24"/>
        </w:rPr>
        <w:t xml:space="preserve">em sua inicial </w:t>
      </w:r>
      <w:r w:rsidR="001E273E">
        <w:rPr>
          <w:rFonts w:ascii="Arial" w:hAnsi="Arial" w:cs="Arial"/>
          <w:sz w:val="24"/>
          <w:szCs w:val="24"/>
        </w:rPr>
        <w:t>confessa</w:t>
      </w:r>
      <w:r w:rsidR="00097695">
        <w:rPr>
          <w:rFonts w:ascii="Arial" w:hAnsi="Arial" w:cs="Arial"/>
          <w:sz w:val="24"/>
          <w:szCs w:val="24"/>
        </w:rPr>
        <w:t xml:space="preserve"> </w:t>
      </w:r>
      <w:r w:rsidR="00680889">
        <w:rPr>
          <w:rFonts w:ascii="Arial" w:hAnsi="Arial" w:cs="Arial"/>
          <w:sz w:val="24"/>
          <w:szCs w:val="24"/>
        </w:rPr>
        <w:t>ter celebrado contrato com a Caixa Econômica Federal, tendo restado inadimplente, o que deu azo à alienação fiduciária que era a garantia do credor</w:t>
      </w:r>
      <w:r w:rsidRPr="00453501">
        <w:rPr>
          <w:rFonts w:ascii="Arial" w:hAnsi="Arial" w:cs="Arial"/>
          <w:sz w:val="24"/>
          <w:szCs w:val="24"/>
        </w:rPr>
        <w:t>.</w:t>
      </w:r>
    </w:p>
    <w:p w14:paraId="4DB1B50C" w14:textId="291C6C26" w:rsidR="00680889" w:rsidRDefault="00680889" w:rsidP="00AF1F4A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Argumenta, porém, que o imóvel deliberadamente dado em garantia, o qual apresentou-se de uso estritamente comercial, abrigava também a residência dos autores.</w:t>
      </w:r>
    </w:p>
    <w:p w14:paraId="07FB5D58" w14:textId="5DF1EAD5" w:rsidR="00680889" w:rsidRDefault="00680889" w:rsidP="00AF1F4A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Assim, roga pelo desfazimento da execução extrajudicial em curso, sob a alegação de tratar-se de </w:t>
      </w:r>
      <w:r w:rsidR="001E273E">
        <w:rPr>
          <w:rFonts w:ascii="Arial" w:hAnsi="Arial" w:cs="Arial"/>
          <w:sz w:val="24"/>
          <w:szCs w:val="24"/>
        </w:rPr>
        <w:t>“bem de família”, portanto, impenhorável.</w:t>
      </w:r>
    </w:p>
    <w:p w14:paraId="140CCCB7" w14:textId="77777777" w:rsidR="001E273E" w:rsidRDefault="001E273E" w:rsidP="00AF1F4A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</w:p>
    <w:p w14:paraId="52BC0F87" w14:textId="225909F6" w:rsidR="001E273E" w:rsidRDefault="001E273E" w:rsidP="00AF1F4A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Todavia, restará devidamente comprovado que as rasas e em alguns pontos absurdas alegações da parte autora não merecem prosperar.</w:t>
      </w:r>
    </w:p>
    <w:p w14:paraId="5A863D73" w14:textId="77777777" w:rsidR="00680889" w:rsidRDefault="00680889" w:rsidP="00AF1F4A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</w:p>
    <w:p w14:paraId="5FC1131C" w14:textId="2D127FB9" w:rsidR="001E273E" w:rsidRDefault="001E273E" w:rsidP="001E273E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DA REALIDADE DOS FATOS</w:t>
      </w:r>
    </w:p>
    <w:p w14:paraId="5F6AEA7C" w14:textId="77777777" w:rsidR="001E273E" w:rsidRP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</w:p>
    <w:p w14:paraId="09275D33" w14:textId="2E168169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  <w:r w:rsidRPr="001E273E">
        <w:rPr>
          <w:rFonts w:ascii="Arial" w:hAnsi="Arial" w:cs="Arial"/>
          <w:sz w:val="24"/>
          <w:szCs w:val="24"/>
        </w:rPr>
        <w:tab/>
      </w:r>
      <w:r w:rsidRPr="001E273E">
        <w:rPr>
          <w:rFonts w:ascii="Arial" w:hAnsi="Arial" w:cs="Arial"/>
          <w:sz w:val="24"/>
          <w:szCs w:val="24"/>
        </w:rPr>
        <w:tab/>
      </w:r>
      <w:r w:rsidRPr="001E273E">
        <w:rPr>
          <w:rFonts w:ascii="Arial" w:hAnsi="Arial" w:cs="Arial"/>
          <w:sz w:val="24"/>
          <w:szCs w:val="24"/>
        </w:rPr>
        <w:tab/>
        <w:t>Con</w:t>
      </w:r>
      <w:r>
        <w:rPr>
          <w:rFonts w:ascii="Arial" w:hAnsi="Arial" w:cs="Arial"/>
          <w:sz w:val="24"/>
          <w:szCs w:val="24"/>
        </w:rPr>
        <w:t>soante reconhecido pela própria parte autora, as partes celebraram contrato de empréstimo, no qual a parte contratante deliberadamente ofereceu o imóvel cujo registro consta dentre os documentos acostados à inicial, que por oportuno apresenta-se:</w:t>
      </w:r>
    </w:p>
    <w:p w14:paraId="3CA115FB" w14:textId="77777777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</w:p>
    <w:p w14:paraId="2B6C36D6" w14:textId="77777777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</w:p>
    <w:p w14:paraId="69F478C4" w14:textId="3F38A130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  <w:r w:rsidRPr="001E273E">
        <w:rPr>
          <w:rFonts w:ascii="Arial" w:hAnsi="Arial" w:cs="Arial"/>
          <w:sz w:val="24"/>
          <w:szCs w:val="24"/>
        </w:rPr>
        <w:lastRenderedPageBreak/>
        <w:drawing>
          <wp:inline distT="0" distB="0" distL="0" distR="0" wp14:anchorId="7A8C8C8B" wp14:editId="745D5F87">
            <wp:extent cx="6391275" cy="7508875"/>
            <wp:effectExtent l="0" t="0" r="9525" b="0"/>
            <wp:docPr id="1870961454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961454" name="Imagem 1" descr="Texto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750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F3D5A" w14:textId="77777777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</w:p>
    <w:p w14:paraId="2A1F2688" w14:textId="77777777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</w:p>
    <w:p w14:paraId="7B85CB25" w14:textId="77777777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</w:p>
    <w:p w14:paraId="12FB6199" w14:textId="77777777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06F39C4" w14:textId="77777777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</w:p>
    <w:p w14:paraId="56FC67EC" w14:textId="77777777" w:rsidR="001E273E" w:rsidRDefault="001E273E" w:rsidP="001E273E">
      <w:pPr>
        <w:spacing w:before="200" w:after="200" w:line="240" w:lineRule="auto"/>
        <w:rPr>
          <w:rFonts w:ascii="Arial" w:hAnsi="Arial" w:cs="Arial"/>
          <w:sz w:val="24"/>
          <w:szCs w:val="24"/>
        </w:rPr>
      </w:pPr>
    </w:p>
    <w:p w14:paraId="1FDAE0A8" w14:textId="77777777" w:rsidR="001E273E" w:rsidRDefault="001E27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52E65B2E" w14:textId="77777777" w:rsidR="001E273E" w:rsidRDefault="001E27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6E1DF9EA" w14:textId="77777777" w:rsidR="001E273E" w:rsidRDefault="001E27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69B46A95" w14:textId="1BE0020F" w:rsidR="001E273E" w:rsidRDefault="001E27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Outrossim, também conforme indicado pela própria parte demandante, trata-se de um imóvel PARA FINS COMERCIAIS, tendo sido esta a finalidade apresentada à Caixa Econômica Federal quando celebrado o pacto entre as partes.</w:t>
      </w:r>
    </w:p>
    <w:p w14:paraId="3B5BF78C" w14:textId="56057237" w:rsidR="001E273E" w:rsidRDefault="001E27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Assim sendo, não deve prosperar a alegação de impenhorabilidade/</w:t>
      </w:r>
      <w:r w:rsidR="005F6B3E" w:rsidRPr="005F6B3E">
        <w:rPr>
          <w:rFonts w:ascii="Arial" w:hAnsi="Arial" w:cs="Arial"/>
          <w:sz w:val="24"/>
          <w:szCs w:val="24"/>
        </w:rPr>
        <w:t>inalienabilidade</w:t>
      </w:r>
      <w:r w:rsidR="005F6B3E">
        <w:rPr>
          <w:rFonts w:ascii="Arial" w:hAnsi="Arial" w:cs="Arial"/>
          <w:sz w:val="24"/>
          <w:szCs w:val="24"/>
        </w:rPr>
        <w:t xml:space="preserve"> do bem sob a justificativa de ser um bem de família, sobretudo por ser um imóvel de 2.400m² (Dois mil e quatrocentos metros quadrados), onde funcionava uma empresa de confecções, portanto, sem a proteção legal equivocadamente reivindicada.</w:t>
      </w:r>
    </w:p>
    <w:p w14:paraId="2CF9C82B" w14:textId="77777777" w:rsidR="005F6B3E" w:rsidRDefault="005F6B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3E5DBF3C" w14:textId="6AEC3680" w:rsidR="005F6B3E" w:rsidRDefault="005F6B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Assim sendo, resta clara a legitimidade do procedimento de execução extrajudicial que culminou na alienação fiduciária gravada no registro do imóvel, posto que o contrato foi celebrado deliberadamente pela parte autora e não há qualquer vício que possa lhe prejudicar.</w:t>
      </w:r>
    </w:p>
    <w:p w14:paraId="5ECFE706" w14:textId="48C74F89" w:rsidR="005F6B3E" w:rsidRDefault="005F6B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Ademais, não é crível supor que um imóvel de </w:t>
      </w:r>
      <w:r>
        <w:rPr>
          <w:rFonts w:ascii="Arial" w:hAnsi="Arial" w:cs="Arial"/>
          <w:sz w:val="24"/>
          <w:szCs w:val="24"/>
        </w:rPr>
        <w:t>2.400m² (Dois mil e quatrocentos metros quadrados)</w:t>
      </w:r>
      <w:r>
        <w:rPr>
          <w:rFonts w:ascii="Arial" w:hAnsi="Arial" w:cs="Arial"/>
          <w:sz w:val="24"/>
          <w:szCs w:val="24"/>
        </w:rPr>
        <w:t xml:space="preserve"> onde funcionava uma confecção, dado livremente como garantia agora no momento de honrar a dívida em razão da inadimplência dos contratantes, seja apontado como “bem de família” na mais evidente tentativa de se eximir das suas obrigações. É, </w:t>
      </w:r>
      <w:proofErr w:type="gramStart"/>
      <w:r>
        <w:rPr>
          <w:rFonts w:ascii="Arial" w:hAnsi="Arial" w:cs="Arial"/>
          <w:sz w:val="24"/>
          <w:szCs w:val="24"/>
        </w:rPr>
        <w:t>pois,  eivada</w:t>
      </w:r>
      <w:proofErr w:type="gramEnd"/>
      <w:r>
        <w:rPr>
          <w:rFonts w:ascii="Arial" w:hAnsi="Arial" w:cs="Arial"/>
          <w:sz w:val="24"/>
          <w:szCs w:val="24"/>
        </w:rPr>
        <w:t xml:space="preserve"> de má-fé a pretensão deduzida em juízo, a qual merece a reprimenda da lei, nos termos do art. 80, I, CPC.</w:t>
      </w:r>
    </w:p>
    <w:p w14:paraId="2738024D" w14:textId="77777777" w:rsidR="005F6B3E" w:rsidRDefault="005F6B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657F50F9" w14:textId="6E27789E" w:rsidR="004E653C" w:rsidRDefault="004E653C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Temos, pois, um flagrante abuso do direito de propriedade, por algumas razões facilmente verificáveis. A um, o imóvel foi apresentado como DE FINS COMERCIAIS, onde funcionava a empresa de confecção dos autores. A dois, é impossível conceber que um terreno de 2.400 m</w:t>
      </w:r>
      <w:r w:rsidR="006B2F5B">
        <w:rPr>
          <w:rFonts w:ascii="Arial" w:hAnsi="Arial" w:cs="Arial"/>
          <w:sz w:val="24"/>
          <w:szCs w:val="24"/>
        </w:rPr>
        <w:t>² venha a servir como moradia, de modo a fazer jus à proteção legal de um legítimo “bem de família”.</w:t>
      </w:r>
    </w:p>
    <w:p w14:paraId="513F3CFE" w14:textId="77777777" w:rsidR="004E653C" w:rsidRDefault="004E653C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305F1214" w14:textId="0984ECCF" w:rsidR="005F6B3E" w:rsidRDefault="005F6B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Prosseguindo, </w:t>
      </w:r>
      <w:r w:rsidR="004E653C">
        <w:rPr>
          <w:rFonts w:ascii="Arial" w:hAnsi="Arial" w:cs="Arial"/>
          <w:sz w:val="24"/>
          <w:szCs w:val="24"/>
        </w:rPr>
        <w:t>além de não ser minimamente</w:t>
      </w:r>
      <w:r w:rsidR="006B2F5B">
        <w:rPr>
          <w:rFonts w:ascii="Arial" w:hAnsi="Arial" w:cs="Arial"/>
          <w:sz w:val="24"/>
          <w:szCs w:val="24"/>
        </w:rPr>
        <w:t xml:space="preserve"> plausível</w:t>
      </w:r>
      <w:r w:rsidR="004E653C">
        <w:rPr>
          <w:rFonts w:ascii="Arial" w:hAnsi="Arial" w:cs="Arial"/>
          <w:sz w:val="24"/>
          <w:szCs w:val="24"/>
        </w:rPr>
        <w:t xml:space="preserve"> considerar</w:t>
      </w:r>
      <w:r w:rsidR="006B2F5B">
        <w:rPr>
          <w:rFonts w:ascii="Arial" w:hAnsi="Arial" w:cs="Arial"/>
          <w:sz w:val="24"/>
          <w:szCs w:val="24"/>
        </w:rPr>
        <w:t xml:space="preserve"> o imóvel cerne dessa lide como sendo “bem de família”, a parte autora sequer se desincumbiu em comprovar cabalmente que esse seria o único imóvel do núcleo familiar formado pelos autores e filhos, deixando, pois de arcar com o ônus probatório que lhe compete, nos termos do art. 373, I, CPC.</w:t>
      </w:r>
    </w:p>
    <w:p w14:paraId="31F2187A" w14:textId="77777777" w:rsidR="005F6B3E" w:rsidRDefault="005F6B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4C1E7742" w14:textId="77777777" w:rsidR="005F6B3E" w:rsidRDefault="005F6B3E" w:rsidP="005F6B3E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  <w:bCs/>
        </w:rPr>
        <w:t xml:space="preserve">DA CERTEZA, LIQUIDEZ E EXIGIBILIDADE DO TÍTULO EXTRAJUDICIAL </w:t>
      </w:r>
    </w:p>
    <w:p w14:paraId="47D1F2BF" w14:textId="77777777" w:rsidR="005F6B3E" w:rsidRDefault="005F6B3E" w:rsidP="005F6B3E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 </w:t>
      </w:r>
    </w:p>
    <w:p w14:paraId="5C5A6612" w14:textId="7237B60B" w:rsidR="005F6B3E" w:rsidRDefault="005F6B3E" w:rsidP="005F6B3E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Evidente que não há cabimento nos argumentos levantados pelas excipientes, visto que a </w:t>
      </w:r>
      <w:r w:rsidR="006B2F5B">
        <w:rPr>
          <w:rFonts w:ascii="Bookman Old Style" w:eastAsia="Bookman Old Style" w:hAnsi="Bookman Old Style" w:cs="Bookman Old Style"/>
        </w:rPr>
        <w:t>execução extrajudicial que a parte autora indevidamente tenta obstar</w:t>
      </w:r>
      <w:r>
        <w:rPr>
          <w:rFonts w:ascii="Bookman Old Style" w:eastAsia="Bookman Old Style" w:hAnsi="Bookman Old Style" w:cs="Bookman Old Style"/>
        </w:rPr>
        <w:t xml:space="preserve"> foi instruída com documentos comprobatórios suficientes para o prosseguimento da execução, bem como os valores cobrados foram especificados </w:t>
      </w:r>
      <w:r w:rsidR="006B2F5B">
        <w:rPr>
          <w:rFonts w:ascii="Bookman Old Style" w:eastAsia="Bookman Old Style" w:hAnsi="Bookman Old Style" w:cs="Bookman Old Style"/>
        </w:rPr>
        <w:t>no procedimento cartorário</w:t>
      </w:r>
      <w:r>
        <w:rPr>
          <w:rFonts w:ascii="Bookman Old Style" w:eastAsia="Bookman Old Style" w:hAnsi="Bookman Old Style" w:cs="Bookman Old Style"/>
        </w:rPr>
        <w:t>, não havendo o que se questionar quanto a isso.</w:t>
      </w:r>
    </w:p>
    <w:p w14:paraId="318913EB" w14:textId="77777777" w:rsidR="006B2F5B" w:rsidRDefault="006B2F5B" w:rsidP="005F6B3E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</w:p>
    <w:p w14:paraId="61567132" w14:textId="77777777" w:rsidR="006B2F5B" w:rsidRDefault="006B2F5B" w:rsidP="005F6B3E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</w:p>
    <w:p w14:paraId="130AB4D5" w14:textId="26953683" w:rsidR="005F6B3E" w:rsidRDefault="005F6B3E" w:rsidP="005F6B3E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Excelência, ao contrário do que tenta fazer crer a </w:t>
      </w:r>
      <w:r w:rsidR="006B2F5B">
        <w:rPr>
          <w:rFonts w:ascii="Bookman Old Style" w:eastAsia="Bookman Old Style" w:hAnsi="Bookman Old Style" w:cs="Bookman Old Style"/>
        </w:rPr>
        <w:t>parte autora</w:t>
      </w:r>
      <w:r>
        <w:rPr>
          <w:rFonts w:ascii="Bookman Old Style" w:eastAsia="Bookman Old Style" w:hAnsi="Bookman Old Style" w:cs="Bookman Old Style"/>
        </w:rPr>
        <w:t xml:space="preserve">, </w:t>
      </w:r>
      <w:r w:rsidR="006B2F5B">
        <w:rPr>
          <w:rFonts w:ascii="Bookman Old Style" w:eastAsia="Bookman Old Style" w:hAnsi="Bookman Old Style" w:cs="Bookman Old Style"/>
        </w:rPr>
        <w:t>o título executado extrajudicialmente</w:t>
      </w:r>
      <w:r>
        <w:rPr>
          <w:rFonts w:ascii="Bookman Old Style" w:eastAsia="Bookman Old Style" w:hAnsi="Bookman Old Style" w:cs="Bookman Old Style"/>
        </w:rPr>
        <w:t xml:space="preserve"> </w:t>
      </w:r>
      <w:r w:rsidR="006B2F5B">
        <w:rPr>
          <w:rFonts w:ascii="Bookman Old Style" w:eastAsia="Bookman Old Style" w:hAnsi="Bookman Old Style" w:cs="Bookman Old Style"/>
        </w:rPr>
        <w:t xml:space="preserve">está fundado num documento hábil, celebrado por pessoas capazes, onde a parte autora, a fim de obter o empréstimo que necessitava, deu em garantia o imóvel comercial onde funciona sua confecção. Ou seja, não há nenhum vício do consentimento que possa invalidar o contrato que é lei entre as partes – </w:t>
      </w:r>
      <w:r w:rsidR="006B2F5B" w:rsidRPr="006B2F5B">
        <w:rPr>
          <w:rFonts w:ascii="Bookman Old Style" w:eastAsia="Bookman Old Style" w:hAnsi="Bookman Old Style" w:cs="Bookman Old Style"/>
          <w:i/>
          <w:iCs/>
        </w:rPr>
        <w:t>pacta sunt servanda</w:t>
      </w:r>
      <w:r w:rsidR="006B2F5B">
        <w:rPr>
          <w:rFonts w:ascii="Bookman Old Style" w:eastAsia="Bookman Old Style" w:hAnsi="Bookman Old Style" w:cs="Bookman Old Style"/>
        </w:rPr>
        <w:t>.</w:t>
      </w:r>
    </w:p>
    <w:p w14:paraId="3F986370" w14:textId="67DBE7A2" w:rsidR="005F6B3E" w:rsidRDefault="005F6B3E" w:rsidP="005F6B3E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Trata-se de típico contrato de adesão epistolar, e a proposta livremente assinada torna claro que a proponente teve ciência das Condições Gerais mencionadas, e que se comprometeu a cumpri-las</w:t>
      </w:r>
      <w:r w:rsidR="007B4942">
        <w:rPr>
          <w:rFonts w:ascii="Bookman Old Style" w:eastAsia="Bookman Old Style" w:hAnsi="Bookman Old Style" w:cs="Bookman Old Style"/>
        </w:rPr>
        <w:t>, inclusive com ciência da perda do imóvel dado em garantia na hipótese de inadimplência</w:t>
      </w:r>
      <w:r>
        <w:rPr>
          <w:rFonts w:ascii="Bookman Old Style" w:eastAsia="Bookman Old Style" w:hAnsi="Bookman Old Style" w:cs="Bookman Old Style"/>
        </w:rPr>
        <w:t xml:space="preserve">. </w:t>
      </w:r>
    </w:p>
    <w:p w14:paraId="542B9F12" w14:textId="61B67671" w:rsidR="005F6B3E" w:rsidRDefault="007B4942" w:rsidP="005F6B3E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Assim sendo, considerando a inexistência de qualquer vício que pudesse macular o contrato que serviu como título executado extrajudicialmente, não merece prosperar o pedido da parte autora referente à nulidade do procedimento extrajudicial de execução, devendo assim ser julgada improcedente a presente demanda</w:t>
      </w:r>
      <w:r w:rsidR="005F6B3E">
        <w:rPr>
          <w:rFonts w:ascii="Bookman Old Style" w:eastAsia="Bookman Old Style" w:hAnsi="Bookman Old Style" w:cs="Bookman Old Style"/>
        </w:rPr>
        <w:t>.</w:t>
      </w:r>
    </w:p>
    <w:p w14:paraId="6EFBEB69" w14:textId="77777777" w:rsidR="005F6B3E" w:rsidRDefault="005F6B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6C476F73" w14:textId="77777777" w:rsidR="007B4942" w:rsidRDefault="007B4942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02E2318E" w14:textId="2CA8A490" w:rsidR="007B4942" w:rsidRDefault="007B4942" w:rsidP="001E273E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  <w:b/>
          <w:bCs/>
        </w:rPr>
      </w:pPr>
      <w:r>
        <w:rPr>
          <w:rFonts w:ascii="Bookman Old Style" w:eastAsia="Bookman Old Style" w:hAnsi="Bookman Old Style" w:cs="Bookman Old Style"/>
          <w:b/>
          <w:bCs/>
        </w:rPr>
        <w:t>D</w:t>
      </w:r>
      <w:r>
        <w:rPr>
          <w:rFonts w:ascii="Bookman Old Style" w:eastAsia="Bookman Old Style" w:hAnsi="Bookman Old Style" w:cs="Bookman Old Style"/>
          <w:b/>
          <w:bCs/>
        </w:rPr>
        <w:t>O ABUSO DO DIREITO DE PROTEÇÃO AO BEM DE FAMÍLIA</w:t>
      </w:r>
    </w:p>
    <w:p w14:paraId="20763E88" w14:textId="77777777" w:rsidR="007B4942" w:rsidRDefault="007B4942" w:rsidP="001E273E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  <w:b/>
          <w:bCs/>
        </w:rPr>
      </w:pPr>
    </w:p>
    <w:p w14:paraId="6D1A7B7E" w14:textId="6C7766EB" w:rsidR="007B4942" w:rsidRDefault="007B4942" w:rsidP="001E273E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  <w:r w:rsidRPr="007B4942">
        <w:rPr>
          <w:rFonts w:ascii="Bookman Old Style" w:eastAsia="Bookman Old Style" w:hAnsi="Bookman Old Style" w:cs="Bookman Old Style"/>
        </w:rPr>
        <w:t xml:space="preserve">Conforme </w:t>
      </w:r>
      <w:r>
        <w:rPr>
          <w:rFonts w:ascii="Bookman Old Style" w:eastAsia="Bookman Old Style" w:hAnsi="Bookman Old Style" w:cs="Bookman Old Style"/>
        </w:rPr>
        <w:t>já informado no bojo desta defesa, bem como o que consta da própria petição inicial, a parte autora busca o desfazimento da execução extrajudicial onde houve a alienação fiduciária do imóvel dado como garantia ao contato inadimplido, sob a justificativa de se tratar de um bem de família, portanto, impenhorável.</w:t>
      </w:r>
    </w:p>
    <w:p w14:paraId="0C00BF9F" w14:textId="46873017" w:rsidR="007B4942" w:rsidRDefault="007B4942" w:rsidP="001E273E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Ocorre que restou devidamente evidenciado nos autos que o imóvel servia sobejamente para FINS COMERCIAIS. Eis que se trata de um imóvel de vultuosa dimensão onde abrigava precipuamente a confecção </w:t>
      </w:r>
      <w:proofErr w:type="spellStart"/>
      <w:r w:rsidRPr="007B4942">
        <w:rPr>
          <w:rFonts w:ascii="Bookman Old Style" w:eastAsia="Bookman Old Style" w:hAnsi="Bookman Old Style" w:cs="Bookman Old Style"/>
        </w:rPr>
        <w:t>Kalusca</w:t>
      </w:r>
      <w:proofErr w:type="spellEnd"/>
      <w:r w:rsidRPr="007B4942">
        <w:rPr>
          <w:rFonts w:ascii="Bookman Old Style" w:eastAsia="Bookman Old Style" w:hAnsi="Bookman Old Style" w:cs="Bookman Old Style"/>
        </w:rPr>
        <w:t xml:space="preserve"> Ltda, inscrita no CNPJ sob nº 89.997.506/0001-20,</w:t>
      </w:r>
      <w:r>
        <w:rPr>
          <w:rFonts w:ascii="Bookman Old Style" w:eastAsia="Bookman Old Style" w:hAnsi="Bookman Old Style" w:cs="Bookman Old Style"/>
        </w:rPr>
        <w:t xml:space="preserve"> não sendo a função preponderante do terreno funcionar como lar dos autores.</w:t>
      </w:r>
    </w:p>
    <w:p w14:paraId="595581EA" w14:textId="66D31A5D" w:rsidR="007B4942" w:rsidRDefault="00022DD0" w:rsidP="001E273E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Ademais, conforme constou no procedimento de execução extrajudicial, indicado também na exordial, o bem foi avaliado em R$ 4.300.000,00, de modo que sua venda viria satisfazer o crédito da Caixa Econômica Federal, bem como viabilizaria ser adquirido um imóvel digno à família.</w:t>
      </w:r>
    </w:p>
    <w:p w14:paraId="78841FD1" w14:textId="1F23CF29" w:rsidR="00022DD0" w:rsidRDefault="00022DD0" w:rsidP="00022DD0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Assim sendo, é flagrante a necessidade de se reconhecer a perda da tutela jurídica do bem de família conferida pela Lei 8.009/90 por abuso do direito, mormente de não ser legítimo e moral conceber que um imóvel avaliado em R$ 4.300.000,00 (Quatro milhões e trezentos mil reais) DADO COMO GARANTIA DE CONTRATO DE MÚTUO COM CLÁUSULA DE ALIENAÇÃO FIDUCIÁRIA, possa permanecer sob o amparo da proteção do bem de família, vez que traria uma situação de enriquecimento sem causa, desvirtuando a mens legis.</w:t>
      </w:r>
    </w:p>
    <w:p w14:paraId="1463A59D" w14:textId="77777777" w:rsidR="00022DD0" w:rsidRDefault="00022DD0" w:rsidP="00022DD0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</w:p>
    <w:p w14:paraId="069F8A82" w14:textId="17BAE1EF" w:rsidR="00022DD0" w:rsidRDefault="00022DD0" w:rsidP="00022DD0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Nesse sentido entendeu a Corte Cidadã:</w:t>
      </w:r>
    </w:p>
    <w:p w14:paraId="2C7D86BA" w14:textId="77777777" w:rsidR="00022DD0" w:rsidRDefault="00022DD0" w:rsidP="00022DD0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</w:p>
    <w:p w14:paraId="161C9860" w14:textId="77777777" w:rsidR="00022DD0" w:rsidRDefault="00022DD0" w:rsidP="00022DD0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</w:p>
    <w:p w14:paraId="5B05D72D" w14:textId="77777777" w:rsidR="00022DD0" w:rsidRDefault="00022DD0" w:rsidP="00022DD0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</w:p>
    <w:p w14:paraId="0A41080B" w14:textId="5D8D8F74" w:rsidR="00022DD0" w:rsidRDefault="00DA4778" w:rsidP="00022DD0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noProof/>
        </w:rPr>
        <w:drawing>
          <wp:inline distT="0" distB="0" distL="0" distR="0" wp14:anchorId="2D00C111" wp14:editId="0C8ECE50">
            <wp:extent cx="4237990" cy="6010910"/>
            <wp:effectExtent l="0" t="0" r="0" b="8890"/>
            <wp:docPr id="140688669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990" cy="601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F3EC9" w14:textId="77777777" w:rsidR="00022DD0" w:rsidRPr="007B4942" w:rsidRDefault="00022DD0" w:rsidP="00022DD0">
      <w:pPr>
        <w:spacing w:before="200" w:after="200" w:line="240" w:lineRule="auto"/>
        <w:ind w:firstLine="708"/>
        <w:rPr>
          <w:rFonts w:ascii="Bookman Old Style" w:eastAsia="Bookman Old Style" w:hAnsi="Bookman Old Style" w:cs="Bookman Old Style"/>
        </w:rPr>
      </w:pPr>
    </w:p>
    <w:p w14:paraId="57D4ED37" w14:textId="77777777" w:rsidR="007B4942" w:rsidRDefault="007B4942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1BF84A38" w14:textId="77777777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0D04C847" w14:textId="6AF97021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83A492F" wp14:editId="7489F142">
            <wp:extent cx="4667250" cy="5843905"/>
            <wp:effectExtent l="0" t="0" r="0" b="4445"/>
            <wp:docPr id="87132818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84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87578" w14:textId="77777777" w:rsidR="00DA4778" w:rsidRDefault="00DA4778" w:rsidP="007B4942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  <w:b/>
          <w:bCs/>
        </w:rPr>
      </w:pPr>
    </w:p>
    <w:p w14:paraId="740D0A0C" w14:textId="7EAFCF64" w:rsidR="00DA4778" w:rsidRPr="00DA4778" w:rsidRDefault="00DA4778" w:rsidP="007B4942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  <w:r w:rsidRPr="00DA4778">
        <w:rPr>
          <w:rFonts w:ascii="Bookman Old Style" w:eastAsia="Bookman Old Style" w:hAnsi="Bookman Old Style" w:cs="Bookman Old Style"/>
        </w:rPr>
        <w:t>Assim sendo, por tudo o que foi exposto, notadamente o abuso do direito de proteção ao bem de família, bem como a legitimidade do título executivo formado pela inadimplência do contrato, a improcedência é medida que se impõe.</w:t>
      </w:r>
    </w:p>
    <w:p w14:paraId="563B5E21" w14:textId="77777777" w:rsidR="00DA4778" w:rsidRDefault="00DA4778" w:rsidP="007B4942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  <w:b/>
          <w:bCs/>
        </w:rPr>
      </w:pPr>
    </w:p>
    <w:p w14:paraId="3CBFD2F0" w14:textId="33476D5D" w:rsidR="007B4942" w:rsidRDefault="007B4942" w:rsidP="007B4942">
      <w:pPr>
        <w:spacing w:before="240" w:after="120" w:line="360" w:lineRule="atLeast"/>
        <w:ind w:firstLine="1134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  <w:bCs/>
        </w:rPr>
        <w:t>DA AUSÊNCIA DE PROVA DE ÚNICO IMÓVEL DO NÚCLEO FAMILIAR – ART. 373, I, CPC</w:t>
      </w:r>
      <w:r>
        <w:rPr>
          <w:rFonts w:ascii="Bookman Old Style" w:eastAsia="Bookman Old Style" w:hAnsi="Bookman Old Style" w:cs="Bookman Old Style"/>
          <w:b/>
          <w:bCs/>
        </w:rPr>
        <w:t xml:space="preserve"> </w:t>
      </w:r>
    </w:p>
    <w:p w14:paraId="1B3E1031" w14:textId="77777777" w:rsidR="001E273E" w:rsidRDefault="001E273E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50064C5C" w14:textId="3CFEB50D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 prejuízo de todas as argumentações que afastam de modo inequívoco o amparo a um legítimo bem de família ao imóvel da parte autora dado como garantia a um contrato de mútuo, percebemos que os demandantes sequer se desincumbiram do seu ônus probatório, nos termos do art. 373, I, CPC.</w:t>
      </w:r>
    </w:p>
    <w:p w14:paraId="1926047E" w14:textId="77777777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7249A49C" w14:textId="77777777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4F40F886" w14:textId="77777777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13B3C069" w14:textId="77777777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1DE8297E" w14:textId="47AD1B1F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 comezinho o conhecimento que o requisito mínimo – sem prejuízo de outras análises – para concessão do status legal de “bem de família” a um imóvel, é que este seja o ÚNICO do núcleo familiar, consoante estipula a Lei 8.009/90.</w:t>
      </w:r>
    </w:p>
    <w:p w14:paraId="40A67E0F" w14:textId="77777777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5D62078B" w14:textId="0892A89D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Ocorre que a parte autora sequer demonstrou cabalmente que nenhum dos integrantes do núcleo familiar possuem outro imóvel, afastando daquele gravado – adequada e legitimamente – pela alienação fiduciária de forma definitiva do amparo dado a um real bem de família.</w:t>
      </w:r>
    </w:p>
    <w:p w14:paraId="3008194A" w14:textId="77777777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</w:p>
    <w:p w14:paraId="582E9D2C" w14:textId="139C3F93" w:rsidR="00DA4778" w:rsidRDefault="00DA4778" w:rsidP="001E273E">
      <w:pPr>
        <w:spacing w:before="200" w:after="20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Portanto, tendo em vista a inobservância do art. 373, I, de modo que a parte autora não comprovou o fato constitutivo de seu direito, deve ser julgada improcedente a demanda.</w:t>
      </w:r>
    </w:p>
    <w:p w14:paraId="0B01D63B" w14:textId="77777777" w:rsidR="004C0652" w:rsidRDefault="004C0652" w:rsidP="004C065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93AE68" w14:textId="05222C15" w:rsidR="004C0652" w:rsidRPr="00AF1F4A" w:rsidRDefault="004C0652" w:rsidP="004C065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F1F4A">
        <w:rPr>
          <w:rFonts w:ascii="Arial" w:hAnsi="Arial" w:cs="Arial"/>
          <w:b/>
          <w:sz w:val="24"/>
          <w:szCs w:val="24"/>
        </w:rPr>
        <w:t>DA INAPLICABILIDADE DO CÓDIGO DE DEFESA DO CONSUMIDOR</w:t>
      </w:r>
    </w:p>
    <w:p w14:paraId="3F96A373" w14:textId="2C9C1E96" w:rsidR="004C0652" w:rsidRPr="00AF1F4A" w:rsidRDefault="004C0652" w:rsidP="004C065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 DA NÃO INVERSÃO DO ÔNUS DA PROVA - </w:t>
      </w:r>
    </w:p>
    <w:p w14:paraId="11093A30" w14:textId="77777777" w:rsidR="004C0652" w:rsidRPr="009A3B81" w:rsidRDefault="004C0652" w:rsidP="004C06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21C18CE" w14:textId="77777777" w:rsidR="004C0652" w:rsidRPr="009A3B81" w:rsidRDefault="004C0652" w:rsidP="004C0652">
      <w:pPr>
        <w:pStyle w:val="Corpodetexto"/>
        <w:spacing w:line="360" w:lineRule="auto"/>
        <w:ind w:firstLine="2835"/>
        <w:rPr>
          <w:rFonts w:cs="Arial"/>
          <w:b/>
          <w:bCs/>
          <w:sz w:val="24"/>
          <w:szCs w:val="24"/>
        </w:rPr>
      </w:pPr>
      <w:r w:rsidRPr="009A3B81">
        <w:rPr>
          <w:rFonts w:cs="Arial"/>
          <w:b/>
          <w:bCs/>
          <w:sz w:val="24"/>
          <w:szCs w:val="24"/>
          <w:highlight w:val="yellow"/>
        </w:rPr>
        <w:t xml:space="preserve">O Código de Defesa do Consumidor - CDC não é aplicável à relação contratual em comento, eis que a </w:t>
      </w:r>
      <w:r>
        <w:rPr>
          <w:rFonts w:cs="Arial"/>
          <w:b/>
          <w:bCs/>
          <w:sz w:val="24"/>
          <w:szCs w:val="24"/>
          <w:highlight w:val="yellow"/>
        </w:rPr>
        <w:t>CAIXA</w:t>
      </w:r>
      <w:r w:rsidRPr="009A3B81">
        <w:rPr>
          <w:rFonts w:cs="Arial"/>
          <w:b/>
          <w:bCs/>
          <w:sz w:val="24"/>
          <w:szCs w:val="24"/>
          <w:highlight w:val="yellow"/>
        </w:rPr>
        <w:t>,</w:t>
      </w:r>
      <w:r w:rsidRPr="009A3B81">
        <w:rPr>
          <w:rFonts w:cs="Arial"/>
          <w:b/>
          <w:bCs/>
          <w:i/>
          <w:sz w:val="24"/>
          <w:szCs w:val="24"/>
          <w:highlight w:val="yellow"/>
        </w:rPr>
        <w:t xml:space="preserve"> in </w:t>
      </w:r>
      <w:proofErr w:type="spellStart"/>
      <w:r w:rsidRPr="009A3B81">
        <w:rPr>
          <w:rFonts w:cs="Arial"/>
          <w:b/>
          <w:bCs/>
          <w:i/>
          <w:sz w:val="24"/>
          <w:szCs w:val="24"/>
          <w:highlight w:val="yellow"/>
        </w:rPr>
        <w:t>casu</w:t>
      </w:r>
      <w:proofErr w:type="spellEnd"/>
      <w:r w:rsidRPr="009A3B81">
        <w:rPr>
          <w:rFonts w:cs="Arial"/>
          <w:b/>
          <w:bCs/>
          <w:sz w:val="24"/>
          <w:szCs w:val="24"/>
          <w:highlight w:val="yellow"/>
        </w:rPr>
        <w:t>, não atua como fornecedora de produtos nem prestadora de serviços, mas intermediadora de crédito, tudo conforme previsto em legislação específica.</w:t>
      </w:r>
    </w:p>
    <w:p w14:paraId="1AF078EB" w14:textId="77777777" w:rsidR="004C0652" w:rsidRDefault="004C0652" w:rsidP="004C0652">
      <w:pPr>
        <w:tabs>
          <w:tab w:val="left" w:pos="3119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59327186" w14:textId="77777777" w:rsidR="004C0652" w:rsidRPr="009A3B81" w:rsidRDefault="004C0652" w:rsidP="004C0652">
      <w:pPr>
        <w:pStyle w:val="Corpodetexto"/>
        <w:spacing w:line="360" w:lineRule="auto"/>
        <w:ind w:firstLine="2835"/>
        <w:rPr>
          <w:rFonts w:cs="Arial"/>
          <w:sz w:val="24"/>
          <w:szCs w:val="24"/>
        </w:rPr>
      </w:pPr>
    </w:p>
    <w:p w14:paraId="7F3A10DF" w14:textId="77777777" w:rsidR="004C0652" w:rsidRPr="009A3B81" w:rsidRDefault="004C0652" w:rsidP="004C0652">
      <w:pPr>
        <w:pStyle w:val="Corpodetexto"/>
        <w:spacing w:line="360" w:lineRule="auto"/>
        <w:ind w:firstLine="2835"/>
        <w:rPr>
          <w:rFonts w:cs="Arial"/>
          <w:sz w:val="24"/>
          <w:szCs w:val="24"/>
        </w:rPr>
      </w:pPr>
      <w:r w:rsidRPr="009A3B81">
        <w:rPr>
          <w:rFonts w:cs="Arial"/>
          <w:sz w:val="24"/>
          <w:szCs w:val="24"/>
        </w:rPr>
        <w:t>Considerando-se que moeda não é produto, mas apenas instrumento representativo e qualificativo do trabalho, tido pelos economistas como a expressão simbólica da produção, o dinheiro não se presta a outra coisa que não à facilitação da realização dos negócios, à obtenção de riquezas, a remuneração de serviços etc.</w:t>
      </w:r>
    </w:p>
    <w:p w14:paraId="71A62A21" w14:textId="77777777" w:rsidR="004C0652" w:rsidRPr="009A3B81" w:rsidRDefault="004C0652" w:rsidP="004C0652">
      <w:pPr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0EAB1C38" w14:textId="77777777" w:rsidR="004C0652" w:rsidRPr="009A3B81" w:rsidRDefault="004C0652" w:rsidP="004C0652">
      <w:pPr>
        <w:tabs>
          <w:tab w:val="left" w:pos="2268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9A3B81">
        <w:rPr>
          <w:rFonts w:ascii="Arial" w:hAnsi="Arial" w:cs="Arial"/>
          <w:sz w:val="24"/>
          <w:szCs w:val="24"/>
        </w:rPr>
        <w:t xml:space="preserve">Atento a esta consideração, ARNOLD WALD, em parecer publicado </w:t>
      </w:r>
      <w:r w:rsidRPr="009A3B81">
        <w:rPr>
          <w:rFonts w:ascii="Arial" w:hAnsi="Arial" w:cs="Arial"/>
          <w:i/>
          <w:sz w:val="24"/>
          <w:szCs w:val="24"/>
        </w:rPr>
        <w:t>in</w:t>
      </w:r>
      <w:r w:rsidRPr="009A3B81">
        <w:rPr>
          <w:rFonts w:ascii="Arial" w:hAnsi="Arial" w:cs="Arial"/>
          <w:sz w:val="24"/>
          <w:szCs w:val="24"/>
        </w:rPr>
        <w:t xml:space="preserve"> RT 666/71, leciona:</w:t>
      </w:r>
    </w:p>
    <w:p w14:paraId="556636EE" w14:textId="77777777" w:rsidR="004C0652" w:rsidRPr="009A3B81" w:rsidRDefault="004C0652" w:rsidP="004C0652">
      <w:pPr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4D563734" w14:textId="77777777" w:rsidR="004C0652" w:rsidRPr="009A3B81" w:rsidRDefault="004C0652" w:rsidP="004C0652">
      <w:pPr>
        <w:pStyle w:val="citao"/>
        <w:tabs>
          <w:tab w:val="clear" w:pos="2268"/>
        </w:tabs>
        <w:spacing w:line="360" w:lineRule="auto"/>
        <w:ind w:left="2835" w:firstLine="0"/>
        <w:rPr>
          <w:rFonts w:cs="Arial"/>
          <w:b w:val="0"/>
          <w:bCs/>
          <w:i w:val="0"/>
          <w:iCs/>
          <w:szCs w:val="24"/>
        </w:rPr>
      </w:pPr>
      <w:r w:rsidRPr="009A3B81">
        <w:rPr>
          <w:rFonts w:cs="Arial"/>
          <w:b w:val="0"/>
          <w:bCs/>
          <w:i w:val="0"/>
          <w:iCs/>
          <w:szCs w:val="24"/>
        </w:rPr>
        <w:t xml:space="preserve">"Assim sendo, entre os produtos referidos no art. 2º da Lei 8.078 não se incluem nem o dinheiro nem o crédito. </w:t>
      </w:r>
    </w:p>
    <w:p w14:paraId="7F90B18F" w14:textId="77777777" w:rsidR="004C0652" w:rsidRPr="009A3B81" w:rsidRDefault="004C0652" w:rsidP="004C0652">
      <w:pPr>
        <w:pStyle w:val="citao"/>
        <w:tabs>
          <w:tab w:val="clear" w:pos="2268"/>
        </w:tabs>
        <w:spacing w:line="360" w:lineRule="auto"/>
        <w:ind w:left="2835" w:firstLine="0"/>
        <w:rPr>
          <w:rFonts w:cs="Arial"/>
          <w:b w:val="0"/>
          <w:bCs/>
          <w:i w:val="0"/>
          <w:iCs/>
          <w:szCs w:val="24"/>
        </w:rPr>
      </w:pPr>
      <w:r w:rsidRPr="009A3B81">
        <w:rPr>
          <w:rFonts w:cs="Arial"/>
          <w:b w:val="0"/>
          <w:bCs/>
          <w:i w:val="0"/>
          <w:iCs/>
          <w:szCs w:val="24"/>
        </w:rPr>
        <w:t>(...)</w:t>
      </w:r>
    </w:p>
    <w:p w14:paraId="6CF8BBD3" w14:textId="77777777" w:rsidR="004C0652" w:rsidRDefault="004C0652" w:rsidP="004C0652">
      <w:pPr>
        <w:pStyle w:val="citao"/>
        <w:tabs>
          <w:tab w:val="clear" w:pos="2268"/>
        </w:tabs>
        <w:spacing w:line="360" w:lineRule="auto"/>
        <w:ind w:left="2835" w:firstLine="0"/>
        <w:rPr>
          <w:rFonts w:cs="Arial"/>
          <w:b w:val="0"/>
          <w:bCs/>
          <w:i w:val="0"/>
          <w:iCs/>
          <w:szCs w:val="24"/>
        </w:rPr>
      </w:pPr>
      <w:r w:rsidRPr="009A3B81">
        <w:rPr>
          <w:rFonts w:cs="Arial"/>
          <w:b w:val="0"/>
          <w:bCs/>
          <w:i w:val="0"/>
          <w:iCs/>
          <w:szCs w:val="24"/>
        </w:rPr>
        <w:lastRenderedPageBreak/>
        <w:t xml:space="preserve">Efetivamente, a entrega de dinheiro sob qualquer forma (mútuo, desconto etc.) ou a promessa de entrega do mesmo, ao contratante ou a terceiro, </w:t>
      </w:r>
      <w:r w:rsidRPr="009A3B81">
        <w:rPr>
          <w:rFonts w:cs="Arial"/>
          <w:bCs/>
          <w:i w:val="0"/>
          <w:iCs/>
          <w:szCs w:val="24"/>
        </w:rPr>
        <w:t>não constitui aquisição de produto</w:t>
      </w:r>
      <w:r w:rsidRPr="009A3B81">
        <w:rPr>
          <w:rFonts w:cs="Arial"/>
          <w:b w:val="0"/>
          <w:bCs/>
          <w:i w:val="0"/>
          <w:iCs/>
          <w:szCs w:val="24"/>
        </w:rPr>
        <w:t xml:space="preserve"> (bem móvel ou imóvel) pelo destinatário final, pois pela sua própria natureza a moeda circula e só constituiria operação com o destinatário final se se tratasse de um colecionador de moedas que não as transferisse a terceiros, hipótese suficientemente excepcional para que não se possa generalizá-la (g.n)”</w:t>
      </w:r>
    </w:p>
    <w:p w14:paraId="1D4A77AE" w14:textId="77777777" w:rsidR="004C0652" w:rsidRPr="009A3B81" w:rsidRDefault="004C0652" w:rsidP="004C0652">
      <w:pPr>
        <w:pStyle w:val="citao"/>
        <w:tabs>
          <w:tab w:val="clear" w:pos="2268"/>
        </w:tabs>
        <w:spacing w:line="360" w:lineRule="auto"/>
        <w:ind w:left="2835" w:firstLine="0"/>
        <w:rPr>
          <w:rFonts w:cs="Arial"/>
          <w:b w:val="0"/>
          <w:i w:val="0"/>
          <w:iCs/>
          <w:szCs w:val="24"/>
        </w:rPr>
      </w:pPr>
    </w:p>
    <w:p w14:paraId="4CDE0296" w14:textId="77777777" w:rsidR="004C0652" w:rsidRPr="009A3B81" w:rsidRDefault="004C0652" w:rsidP="004C0652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  <w:r w:rsidRPr="009A3B81">
        <w:rPr>
          <w:rFonts w:ascii="Arial" w:hAnsi="Arial" w:cs="Arial"/>
          <w:sz w:val="24"/>
          <w:szCs w:val="24"/>
        </w:rPr>
        <w:t>Impende registrar que em um contrato de mútuo a essência do equilíbrio está na concessão, pelo credor, de empréstimo com um custo razoável, e a restituição pelo devedor, do valor emprestado, devidamente corrigido, na forma e prazo previamente ajustados, inclusive quanto ao custo do dinheiro previsto no pacto.</w:t>
      </w:r>
    </w:p>
    <w:p w14:paraId="65DBEE61" w14:textId="77777777" w:rsidR="004C0652" w:rsidRPr="009A3B81" w:rsidRDefault="004C0652" w:rsidP="004C0652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  <w:r w:rsidRPr="009A3B81">
        <w:rPr>
          <w:rFonts w:ascii="Arial" w:hAnsi="Arial" w:cs="Arial"/>
          <w:sz w:val="24"/>
          <w:szCs w:val="24"/>
        </w:rPr>
        <w:t xml:space="preserve">Cabe ao mutuário, por seu turno, cumprir com a sua parte e devolver o que recebeu com a atualização monetária – que não é ganho de capital, pois não passa de mera atualização monetária do valor emprestado – e os juros devidos, na forma e tempo contratados. </w:t>
      </w:r>
    </w:p>
    <w:p w14:paraId="4154E37E" w14:textId="77777777" w:rsidR="004C0652" w:rsidRPr="009A3B81" w:rsidRDefault="004C0652" w:rsidP="004C0652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</w:p>
    <w:p w14:paraId="0C58A52E" w14:textId="77777777" w:rsidR="004C0652" w:rsidRPr="009A3B81" w:rsidRDefault="004C0652" w:rsidP="004C0652">
      <w:pPr>
        <w:spacing w:line="360" w:lineRule="auto"/>
        <w:ind w:firstLine="2880"/>
        <w:jc w:val="both"/>
        <w:rPr>
          <w:rFonts w:ascii="Arial" w:hAnsi="Arial" w:cs="Arial"/>
          <w:b/>
          <w:bCs/>
          <w:sz w:val="24"/>
          <w:szCs w:val="24"/>
        </w:rPr>
      </w:pPr>
      <w:r w:rsidRPr="009A3B81">
        <w:rPr>
          <w:rFonts w:ascii="Arial" w:hAnsi="Arial" w:cs="Arial"/>
          <w:b/>
          <w:bCs/>
          <w:sz w:val="24"/>
          <w:szCs w:val="24"/>
        </w:rPr>
        <w:t xml:space="preserve">Nos contratos dessa espécie de financiamento a disciplina legal é específica e de observância obrigatória tanto pela Caixa Econômica Federal quanto pelos mutuários. De sorte que, nessa relação contratual os mutuários não se colocam como consumidores finais, tal como o conceito legal imprime.  </w:t>
      </w:r>
    </w:p>
    <w:p w14:paraId="1060B9EB" w14:textId="63A731DA" w:rsidR="004C0652" w:rsidRPr="009A3B81" w:rsidRDefault="004C0652" w:rsidP="004C06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3B81">
        <w:rPr>
          <w:rFonts w:ascii="Arial" w:hAnsi="Arial" w:cs="Arial"/>
          <w:sz w:val="24"/>
          <w:szCs w:val="24"/>
        </w:rPr>
        <w:tab/>
      </w:r>
      <w:r w:rsidRPr="009A3B81">
        <w:rPr>
          <w:rFonts w:ascii="Arial" w:hAnsi="Arial" w:cs="Arial"/>
          <w:sz w:val="24"/>
          <w:szCs w:val="24"/>
        </w:rPr>
        <w:tab/>
      </w:r>
      <w:r w:rsidRPr="009A3B81">
        <w:rPr>
          <w:rFonts w:ascii="Arial" w:hAnsi="Arial" w:cs="Arial"/>
          <w:sz w:val="24"/>
          <w:szCs w:val="24"/>
        </w:rPr>
        <w:tab/>
      </w:r>
      <w:r w:rsidRPr="009A3B81">
        <w:rPr>
          <w:rFonts w:ascii="Arial" w:hAnsi="Arial" w:cs="Arial"/>
          <w:sz w:val="24"/>
          <w:szCs w:val="24"/>
        </w:rPr>
        <w:tab/>
        <w:t>Ainda que assim não se entenda, mesmo que somente quanto a outras questões, diversas daquelas de natureza estritamente contratual, cumpre ponderar que quaisquer alegações devem ser devidamente provadas.</w:t>
      </w:r>
    </w:p>
    <w:p w14:paraId="69C92C48" w14:textId="77777777" w:rsidR="004C0652" w:rsidRPr="009A3B81" w:rsidRDefault="004C0652" w:rsidP="004C0652">
      <w:pPr>
        <w:pStyle w:val="Recuodecorpodetexto"/>
        <w:spacing w:after="0" w:line="360" w:lineRule="auto"/>
        <w:ind w:firstLine="2880"/>
        <w:jc w:val="both"/>
        <w:rPr>
          <w:rFonts w:ascii="Arial" w:hAnsi="Arial" w:cs="Arial"/>
          <w:sz w:val="24"/>
          <w:szCs w:val="24"/>
        </w:rPr>
      </w:pPr>
    </w:p>
    <w:p w14:paraId="65B4C409" w14:textId="2E531A70" w:rsidR="004C0652" w:rsidRPr="009A3B81" w:rsidRDefault="004C0652" w:rsidP="004C0652">
      <w:pPr>
        <w:pStyle w:val="Recuodecorpodetexto"/>
        <w:spacing w:after="0" w:line="360" w:lineRule="auto"/>
        <w:ind w:firstLine="2880"/>
        <w:jc w:val="both"/>
        <w:rPr>
          <w:rFonts w:ascii="Arial" w:hAnsi="Arial" w:cs="Arial"/>
          <w:sz w:val="24"/>
          <w:szCs w:val="24"/>
        </w:rPr>
      </w:pPr>
      <w:r w:rsidRPr="009A3B81">
        <w:rPr>
          <w:rFonts w:ascii="Arial" w:hAnsi="Arial" w:cs="Arial"/>
          <w:sz w:val="24"/>
          <w:szCs w:val="24"/>
        </w:rPr>
        <w:t xml:space="preserve">Assim são essas as razões de ordem eminentemente jurídica que conduzem, inexoravelmente, à conclusão de que não se aplica o Código de Defesa do Consumidor ao </w:t>
      </w:r>
      <w:r>
        <w:rPr>
          <w:rFonts w:ascii="Arial" w:hAnsi="Arial" w:cs="Arial"/>
          <w:sz w:val="24"/>
          <w:szCs w:val="24"/>
        </w:rPr>
        <w:t>caso em apreço</w:t>
      </w:r>
      <w:r w:rsidRPr="009A3B81">
        <w:rPr>
          <w:rFonts w:ascii="Arial" w:hAnsi="Arial" w:cs="Arial"/>
          <w:sz w:val="24"/>
          <w:szCs w:val="24"/>
        </w:rPr>
        <w:t>.</w:t>
      </w:r>
    </w:p>
    <w:p w14:paraId="62D16D1A" w14:textId="77777777" w:rsidR="004C0652" w:rsidRPr="009A3B81" w:rsidRDefault="004C0652" w:rsidP="004C0652">
      <w:pPr>
        <w:pStyle w:val="Recuodecorpodetexto"/>
        <w:spacing w:after="0" w:line="360" w:lineRule="auto"/>
        <w:ind w:firstLine="2880"/>
        <w:rPr>
          <w:rFonts w:ascii="Arial" w:hAnsi="Arial" w:cs="Arial"/>
          <w:sz w:val="24"/>
          <w:szCs w:val="24"/>
        </w:rPr>
      </w:pPr>
    </w:p>
    <w:p w14:paraId="17536480" w14:textId="77777777" w:rsidR="004C0652" w:rsidRPr="009A3B81" w:rsidRDefault="004C0652" w:rsidP="004C0652">
      <w:pPr>
        <w:pStyle w:val="Recuodecorpodetexto"/>
        <w:spacing w:after="0" w:line="360" w:lineRule="auto"/>
        <w:ind w:left="0" w:firstLine="2880"/>
        <w:jc w:val="both"/>
        <w:rPr>
          <w:rFonts w:ascii="Arial" w:hAnsi="Arial" w:cs="Arial"/>
          <w:b/>
          <w:spacing w:val="-1"/>
          <w:sz w:val="24"/>
          <w:szCs w:val="24"/>
          <w:u w:val="single"/>
          <w:lang w:val="pt-PT"/>
        </w:rPr>
      </w:pPr>
      <w:r w:rsidRPr="009A3B81">
        <w:rPr>
          <w:rFonts w:ascii="Arial" w:hAnsi="Arial" w:cs="Arial"/>
          <w:b/>
          <w:spacing w:val="1"/>
          <w:sz w:val="24"/>
          <w:szCs w:val="24"/>
          <w:lang w:val="pt-PT"/>
        </w:rPr>
        <w:tab/>
        <w:t xml:space="preserve">Estão, pois, ausentes os requisitos para que se possa aplicar o </w:t>
      </w:r>
      <w:r w:rsidRPr="009A3B81">
        <w:rPr>
          <w:rFonts w:ascii="Arial" w:hAnsi="Arial" w:cs="Arial"/>
          <w:b/>
          <w:spacing w:val="6"/>
          <w:sz w:val="24"/>
          <w:szCs w:val="24"/>
          <w:lang w:val="pt-PT"/>
        </w:rPr>
        <w:t>art. 3°, §2° do CDC, corolário</w:t>
      </w:r>
      <w:r w:rsidRPr="009A3B81">
        <w:rPr>
          <w:rFonts w:ascii="Arial" w:hAnsi="Arial" w:cs="Arial"/>
          <w:b/>
          <w:spacing w:val="6"/>
          <w:sz w:val="24"/>
          <w:szCs w:val="24"/>
          <w:u w:val="single"/>
          <w:lang w:val="pt-PT"/>
        </w:rPr>
        <w:t xml:space="preserve">, não se aplica ao caso presente o Código de Defesa do </w:t>
      </w:r>
      <w:r w:rsidRPr="009A3B81">
        <w:rPr>
          <w:rFonts w:ascii="Arial" w:hAnsi="Arial" w:cs="Arial"/>
          <w:b/>
          <w:spacing w:val="-1"/>
          <w:sz w:val="24"/>
          <w:szCs w:val="24"/>
          <w:u w:val="single"/>
          <w:lang w:val="pt-PT"/>
        </w:rPr>
        <w:t>Consumidor bem como a inversão do ônus da prova, nos termos do art. 6, VIII da Lei 8.078/90.</w:t>
      </w:r>
    </w:p>
    <w:p w14:paraId="5D890D3D" w14:textId="77777777" w:rsidR="00E848F1" w:rsidRDefault="00E848F1" w:rsidP="00AF1F4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E3B00B5" w14:textId="77777777" w:rsidR="004C0652" w:rsidRDefault="004C0652" w:rsidP="00AF1F4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4836FCA" w14:textId="3D9378AB" w:rsidR="00AF1F4A" w:rsidRPr="00AF1F4A" w:rsidRDefault="00AF1F4A" w:rsidP="00AF1F4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F1F4A">
        <w:rPr>
          <w:rFonts w:ascii="Arial" w:hAnsi="Arial" w:cs="Arial"/>
          <w:b/>
          <w:bCs/>
          <w:sz w:val="24"/>
          <w:szCs w:val="24"/>
          <w:u w:val="single"/>
        </w:rPr>
        <w:t>CONCLUSÃO</w:t>
      </w:r>
    </w:p>
    <w:p w14:paraId="3020D47D" w14:textId="4C2EF8B9" w:rsidR="00AF1F4A" w:rsidRPr="00C05C42" w:rsidRDefault="00AF1F4A" w:rsidP="00AF1F4A">
      <w:pPr>
        <w:spacing w:line="360" w:lineRule="auto"/>
        <w:ind w:firstLine="2880"/>
        <w:jc w:val="both"/>
        <w:rPr>
          <w:rFonts w:ascii="Arial" w:hAnsi="Arial" w:cs="Arial"/>
          <w:sz w:val="24"/>
          <w:szCs w:val="24"/>
        </w:rPr>
      </w:pPr>
      <w:r w:rsidRPr="00C05C42">
        <w:rPr>
          <w:rFonts w:ascii="Arial" w:hAnsi="Arial" w:cs="Arial"/>
          <w:sz w:val="24"/>
          <w:szCs w:val="24"/>
        </w:rPr>
        <w:t xml:space="preserve">Ante todo o exposto, requer que, no mérito, seja a ação julgada totalmente </w:t>
      </w:r>
      <w:r w:rsidRPr="00C05C42">
        <w:rPr>
          <w:rFonts w:ascii="Arial" w:hAnsi="Arial" w:cs="Arial"/>
          <w:b/>
          <w:bCs/>
          <w:sz w:val="24"/>
          <w:szCs w:val="24"/>
        </w:rPr>
        <w:t>IMPROCEDENTE</w:t>
      </w:r>
      <w:r w:rsidR="00DA4778">
        <w:rPr>
          <w:rFonts w:ascii="Arial" w:hAnsi="Arial" w:cs="Arial"/>
          <w:b/>
          <w:bCs/>
          <w:sz w:val="24"/>
          <w:szCs w:val="24"/>
        </w:rPr>
        <w:t xml:space="preserve"> o pedido deduzido na petição inicial</w:t>
      </w:r>
      <w:r w:rsidRPr="00C05C42">
        <w:rPr>
          <w:rFonts w:ascii="Arial" w:hAnsi="Arial" w:cs="Arial"/>
          <w:sz w:val="24"/>
          <w:szCs w:val="24"/>
        </w:rPr>
        <w:t>.</w:t>
      </w:r>
      <w:r w:rsidRPr="00C05C42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54E7583B" w14:textId="77777777" w:rsidR="00AF1F4A" w:rsidRPr="00C05C42" w:rsidRDefault="00AF1F4A" w:rsidP="00AF1F4A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C05C42">
        <w:rPr>
          <w:rFonts w:ascii="Arial" w:hAnsi="Arial" w:cs="Arial"/>
          <w:noProof/>
          <w:sz w:val="24"/>
          <w:szCs w:val="24"/>
        </w:rPr>
        <w:t xml:space="preserve">A CAIXA pretende provar o alegado através de todos os meios de provas admitidos pelo Direito, sem exceção, bem como protesta desde já pela eventual juntada de novos documentos que sejam esclarecedores e pertinentes à matéria tratada nos Autos. </w:t>
      </w:r>
    </w:p>
    <w:p w14:paraId="02D2B9DA" w14:textId="72A956B1" w:rsidR="004767F5" w:rsidRPr="00E848F1" w:rsidRDefault="00291592">
      <w:pPr>
        <w:spacing w:before="200" w:after="200" w:line="240" w:lineRule="auto"/>
        <w:jc w:val="both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E848F1">
        <w:rPr>
          <w:rFonts w:ascii="Arial" w:hAnsi="Arial" w:cs="Arial"/>
          <w:noProof/>
          <w:sz w:val="24"/>
          <w:szCs w:val="24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</w:t>
      </w:r>
      <w:r w:rsidRPr="00E848F1">
        <w:rPr>
          <w:rFonts w:ascii="Arial" w:hAnsi="Arial" w:cs="Arial"/>
          <w:b/>
          <w:bCs/>
          <w:noProof/>
          <w:sz w:val="24"/>
          <w:szCs w:val="24"/>
          <w:u w:val="single"/>
        </w:rPr>
        <w:t>Dr. JOÃO ALVES BARBOSA FILHO, inscrito sob o nº OAB/RS 90657-A, sob pena de nulidade das mesmas.</w:t>
      </w:r>
    </w:p>
    <w:p w14:paraId="0A02439E" w14:textId="328A3C56" w:rsidR="004767F5" w:rsidRDefault="00291592" w:rsidP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848D490" w14:textId="6728193A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</w:rPr>
        <w:t>Nestes Termos,</w:t>
      </w:r>
      <w:r>
        <w:rPr>
          <w:rFonts w:cs="Calibri"/>
        </w:rPr>
        <w:br/>
        <w:t> Pede Deferimento,</w:t>
      </w:r>
      <w:r>
        <w:rPr>
          <w:rFonts w:cs="Calibri"/>
        </w:rPr>
        <w:br/>
      </w:r>
      <w:r>
        <w:rPr>
          <w:rFonts w:cs="Calibri"/>
        </w:rPr>
        <w:br/>
      </w:r>
      <w:r w:rsidR="00D16769">
        <w:rPr>
          <w:rFonts w:cs="Calibri"/>
        </w:rPr>
        <w:t>CAXIAS DO SUL</w:t>
      </w:r>
      <w:r>
        <w:rPr>
          <w:rFonts w:cs="Calibri"/>
        </w:rPr>
        <w:t xml:space="preserve">, </w:t>
      </w:r>
      <w:r w:rsidR="00D16769">
        <w:rPr>
          <w:rFonts w:cs="Calibri"/>
        </w:rPr>
        <w:t>25</w:t>
      </w:r>
      <w:r>
        <w:rPr>
          <w:rFonts w:cs="Calibri"/>
        </w:rPr>
        <w:t xml:space="preserve"> de </w:t>
      </w:r>
      <w:r w:rsidR="006A71F7">
        <w:rPr>
          <w:rFonts w:cs="Calibri"/>
        </w:rPr>
        <w:t>Abril</w:t>
      </w:r>
      <w:r>
        <w:rPr>
          <w:rFonts w:cs="Calibri"/>
        </w:rPr>
        <w:t xml:space="preserve"> de 2023.</w:t>
      </w:r>
      <w:r>
        <w:rPr>
          <w:rFonts w:cs="Calibri"/>
        </w:rPr>
        <w:br/>
      </w:r>
      <w:r>
        <w:rPr>
          <w:rFonts w:cs="Calibri"/>
        </w:rPr>
        <w:br/>
      </w:r>
      <w:r>
        <w:rPr>
          <w:rFonts w:cs="Calibri"/>
          <w:b/>
          <w:bCs/>
        </w:rPr>
        <w:t>JOÃO BARBOSA</w:t>
      </w:r>
      <w:r>
        <w:rPr>
          <w:rFonts w:cs="Calibri"/>
          <w:b/>
          <w:bCs/>
        </w:rPr>
        <w:br/>
        <w:t>OAB/RS 90657-A</w:t>
      </w:r>
      <w:r>
        <w:rPr>
          <w:rFonts w:cs="Calibri"/>
          <w:b/>
          <w:bCs/>
        </w:rPr>
        <w:br/>
      </w:r>
      <w:r>
        <w:rPr>
          <w:rFonts w:cs="Calibri"/>
          <w:sz w:val="20"/>
          <w:szCs w:val="20"/>
        </w:rPr>
        <w:t> </w:t>
      </w:r>
    </w:p>
    <w:p w14:paraId="0D0F5B3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12B7B6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C2A65F4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sectPr w:rsidR="004767F5" w:rsidSect="0076787A">
      <w:footerReference w:type="default" r:id="rId12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22D1" w14:textId="77777777" w:rsidR="00606A04" w:rsidRDefault="00291592">
      <w:pPr>
        <w:spacing w:after="0" w:line="240" w:lineRule="auto"/>
      </w:pPr>
      <w:r>
        <w:separator/>
      </w:r>
    </w:p>
  </w:endnote>
  <w:endnote w:type="continuationSeparator" w:id="0">
    <w:p w14:paraId="592661A2" w14:textId="77777777" w:rsidR="00606A04" w:rsidRDefault="0029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8477" w14:textId="77777777" w:rsidR="00FA2C18" w:rsidRDefault="00291592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73479ECC" w14:textId="77777777" w:rsidR="00FE5317" w:rsidRPr="00FE5317" w:rsidRDefault="00291592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DA3E296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18E7" w14:textId="77777777" w:rsidR="007E1F86" w:rsidRDefault="00291592" w:rsidP="00FE5317">
      <w:pPr>
        <w:spacing w:after="0" w:line="240" w:lineRule="auto"/>
      </w:pPr>
      <w:r>
        <w:separator/>
      </w:r>
    </w:p>
  </w:footnote>
  <w:footnote w:type="continuationSeparator" w:id="0">
    <w:p w14:paraId="775044CC" w14:textId="77777777" w:rsidR="007E1F86" w:rsidRDefault="00291592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CF88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1A4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70EC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525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68F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58D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EEA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4245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2C1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6B47414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61F53B7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174879607">
    <w:abstractNumId w:val="0"/>
  </w:num>
  <w:num w:numId="2" w16cid:durableId="10215132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6324274">
    <w:abstractNumId w:val="3"/>
    <w:lvlOverride w:ilvl="0">
      <w:startOverride w:val="1"/>
    </w:lvlOverride>
  </w:num>
  <w:num w:numId="4" w16cid:durableId="192448536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22DD0"/>
    <w:rsid w:val="00097695"/>
    <w:rsid w:val="000C60A8"/>
    <w:rsid w:val="001E273E"/>
    <w:rsid w:val="00291592"/>
    <w:rsid w:val="00326B23"/>
    <w:rsid w:val="003349B7"/>
    <w:rsid w:val="0037684E"/>
    <w:rsid w:val="00387F34"/>
    <w:rsid w:val="003F5DCE"/>
    <w:rsid w:val="00404C94"/>
    <w:rsid w:val="00410B39"/>
    <w:rsid w:val="004767F5"/>
    <w:rsid w:val="00486EBB"/>
    <w:rsid w:val="004C0652"/>
    <w:rsid w:val="004E653C"/>
    <w:rsid w:val="0052134B"/>
    <w:rsid w:val="00530F86"/>
    <w:rsid w:val="005663F9"/>
    <w:rsid w:val="005869BC"/>
    <w:rsid w:val="005D4224"/>
    <w:rsid w:val="005E1F47"/>
    <w:rsid w:val="005F6B3E"/>
    <w:rsid w:val="00606A04"/>
    <w:rsid w:val="00654BB2"/>
    <w:rsid w:val="00680889"/>
    <w:rsid w:val="006A71F7"/>
    <w:rsid w:val="006B1470"/>
    <w:rsid w:val="006B2F5B"/>
    <w:rsid w:val="006F66E3"/>
    <w:rsid w:val="006F7A6B"/>
    <w:rsid w:val="00701612"/>
    <w:rsid w:val="0076787A"/>
    <w:rsid w:val="007B4942"/>
    <w:rsid w:val="007B689A"/>
    <w:rsid w:val="007E1F86"/>
    <w:rsid w:val="00873596"/>
    <w:rsid w:val="008E1AB2"/>
    <w:rsid w:val="008F7080"/>
    <w:rsid w:val="00956E0D"/>
    <w:rsid w:val="009A636B"/>
    <w:rsid w:val="009D3C6C"/>
    <w:rsid w:val="009E3B76"/>
    <w:rsid w:val="00AF1F4A"/>
    <w:rsid w:val="00BE42B5"/>
    <w:rsid w:val="00D16769"/>
    <w:rsid w:val="00DA4778"/>
    <w:rsid w:val="00E67247"/>
    <w:rsid w:val="00E848F1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EBF"/>
  <w15:docId w15:val="{B1D53E81-F9B1-477C-BA7B-E1908A80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F1F4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customStyle="1" w:styleId="var">
    <w:name w:val="var"/>
    <w:basedOn w:val="Fontepargpadro"/>
  </w:style>
  <w:style w:type="character" w:styleId="Refdenotaderodap">
    <w:name w:val="footnote reference"/>
    <w:basedOn w:val="Fontepargpadro"/>
    <w:rsid w:val="00805BCE"/>
    <w:rPr>
      <w:vertAlign w:val="superscript"/>
    </w:rPr>
  </w:style>
  <w:style w:type="paragraph" w:styleId="Textodenotaderodap">
    <w:name w:val="footnote text"/>
    <w:basedOn w:val="Normal"/>
    <w:rsid w:val="00805BCE"/>
    <w:rPr>
      <w:sz w:val="20"/>
      <w:szCs w:val="20"/>
    </w:rPr>
  </w:style>
  <w:style w:type="character" w:customStyle="1" w:styleId="Ttulo3Char">
    <w:name w:val="Título 3 Char"/>
    <w:basedOn w:val="Fontepargpadro"/>
    <w:link w:val="Ttulo3"/>
    <w:semiHidden/>
    <w:rsid w:val="00AF1F4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rsid w:val="00AF1F4A"/>
    <w:pPr>
      <w:tabs>
        <w:tab w:val="left" w:pos="429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Batang" w:hAnsi="Arial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F1F4A"/>
    <w:rPr>
      <w:rFonts w:ascii="Arial" w:eastAsia="Batang" w:hAnsi="Arial"/>
      <w:sz w:val="28"/>
    </w:rPr>
  </w:style>
  <w:style w:type="paragraph" w:styleId="Recuodecorpodetexto3">
    <w:name w:val="Body Text Indent 3"/>
    <w:basedOn w:val="Normal"/>
    <w:link w:val="Recuodecorpodetexto3Char"/>
    <w:rsid w:val="00AF1F4A"/>
    <w:pPr>
      <w:spacing w:after="120" w:line="240" w:lineRule="auto"/>
      <w:ind w:left="283"/>
    </w:pPr>
    <w:rPr>
      <w:rFonts w:ascii="Times New Roman" w:eastAsia="Batang" w:hAnsi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F1F4A"/>
    <w:rPr>
      <w:rFonts w:ascii="Times New Roman" w:eastAsia="Batang" w:hAnsi="Times New Roman"/>
      <w:sz w:val="16"/>
      <w:szCs w:val="16"/>
    </w:rPr>
  </w:style>
  <w:style w:type="table" w:styleId="Tabelacomgrade">
    <w:name w:val="Table Grid"/>
    <w:basedOn w:val="Tabelanormal"/>
    <w:rsid w:val="00AF1F4A"/>
    <w:rPr>
      <w:rFonts w:ascii="Times New Roman" w:eastAsia="Batang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AF1F4A"/>
    <w:pPr>
      <w:spacing w:after="120" w:line="24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F1F4A"/>
    <w:rPr>
      <w:rFonts w:ascii="Times New Roman" w:eastAsia="Batang" w:hAnsi="Times New Roman"/>
    </w:rPr>
  </w:style>
  <w:style w:type="paragraph" w:styleId="Recuodecorpodetexto2">
    <w:name w:val="Body Text Indent 2"/>
    <w:basedOn w:val="Normal"/>
    <w:link w:val="Recuodecorpodetexto2Char"/>
    <w:rsid w:val="00AF1F4A"/>
    <w:pPr>
      <w:spacing w:after="120" w:line="48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AF1F4A"/>
    <w:rPr>
      <w:rFonts w:ascii="Times New Roman" w:eastAsia="Batang" w:hAnsi="Times New Roman"/>
    </w:rPr>
  </w:style>
  <w:style w:type="paragraph" w:styleId="PargrafodaLista">
    <w:name w:val="List Paragraph"/>
    <w:basedOn w:val="Normal"/>
    <w:link w:val="PargrafodaListaChar"/>
    <w:uiPriority w:val="1"/>
    <w:qFormat/>
    <w:rsid w:val="00AF1F4A"/>
    <w:pPr>
      <w:spacing w:after="0" w:line="240" w:lineRule="auto"/>
      <w:ind w:left="720"/>
      <w:contextualSpacing/>
    </w:pPr>
    <w:rPr>
      <w:rFonts w:ascii="Times New Roman" w:eastAsia="Batang" w:hAnsi="Times New Roman"/>
      <w:sz w:val="20"/>
      <w:szCs w:val="20"/>
      <w:lang w:eastAsia="pt-BR"/>
    </w:rPr>
  </w:style>
  <w:style w:type="paragraph" w:styleId="Textoembloco">
    <w:name w:val="Block Text"/>
    <w:basedOn w:val="Normal"/>
    <w:rsid w:val="00AF1F4A"/>
    <w:pPr>
      <w:spacing w:after="0" w:line="240" w:lineRule="auto"/>
      <w:ind w:left="1080" w:right="393"/>
      <w:jc w:val="both"/>
    </w:pPr>
    <w:rPr>
      <w:rFonts w:ascii="Courier New" w:eastAsia="Arial Unicode MS" w:hAnsi="Courier New" w:cs="Courier New"/>
      <w:b/>
      <w:bCs/>
      <w:lang w:eastAsia="pt-BR"/>
    </w:rPr>
  </w:style>
  <w:style w:type="paragraph" w:customStyle="1" w:styleId="citao">
    <w:name w:val="citação"/>
    <w:basedOn w:val="Normal"/>
    <w:rsid w:val="00AF1F4A"/>
    <w:pPr>
      <w:tabs>
        <w:tab w:val="left" w:pos="2268"/>
      </w:tabs>
      <w:spacing w:after="0" w:line="240" w:lineRule="auto"/>
      <w:ind w:left="1701" w:firstLine="567"/>
      <w:jc w:val="both"/>
    </w:pPr>
    <w:rPr>
      <w:rFonts w:ascii="Arial" w:eastAsia="Times New Roman" w:hAnsi="Arial"/>
      <w:b/>
      <w:i/>
      <w:position w:val="-2"/>
      <w:sz w:val="24"/>
      <w:szCs w:val="20"/>
      <w:lang w:val="pt-PT" w:eastAsia="pt-BR"/>
    </w:rPr>
  </w:style>
  <w:style w:type="character" w:customStyle="1" w:styleId="par00c1grafochar1">
    <w:name w:val="par_00c1grafo__char1"/>
    <w:rsid w:val="00AF1F4A"/>
    <w:rPr>
      <w:rFonts w:ascii="Times New Roman" w:hAnsi="Times New Roman" w:cs="Times New Roman" w:hint="default"/>
      <w:spacing w:val="0"/>
      <w:sz w:val="24"/>
      <w:szCs w:val="24"/>
    </w:rPr>
  </w:style>
  <w:style w:type="character" w:customStyle="1" w:styleId="PargrafodaListaChar">
    <w:name w:val="Parágrafo da Lista Char"/>
    <w:link w:val="PargrafodaLista"/>
    <w:uiPriority w:val="1"/>
    <w:qFormat/>
    <w:rsid w:val="00AF1F4A"/>
    <w:rPr>
      <w:rFonts w:ascii="Times New Roman" w:eastAsia="Batang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1839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3</cp:revision>
  <dcterms:created xsi:type="dcterms:W3CDTF">2023-04-26T02:11:00Z</dcterms:created>
  <dcterms:modified xsi:type="dcterms:W3CDTF">2023-04-26T02:18:00Z</dcterms:modified>
</cp:coreProperties>
</file>