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44B" w:rsidRDefault="00C7244B" w:rsidP="00C7244B">
      <w:pPr>
        <w:rPr>
          <w:rFonts w:ascii="Arial" w:hAnsi="Arial" w:cs="Arial"/>
        </w:rPr>
      </w:pPr>
      <w:r>
        <w:rPr>
          <w:rFonts w:ascii="Arial" w:hAnsi="Arial" w:cs="Arial"/>
          <w:color w:val="00B050"/>
        </w:rPr>
        <w:t>2ª VARA-CIVEL DA COMARCA DE GRAVATA-PE</w:t>
      </w:r>
    </w:p>
    <w:p w:rsidR="00C7244B" w:rsidRDefault="00C7244B" w:rsidP="00C7244B">
      <w:pPr>
        <w:rPr>
          <w:rFonts w:ascii="Arial" w:hAnsi="Arial" w:cs="Arial"/>
        </w:rPr>
      </w:pPr>
      <w:r>
        <w:rPr>
          <w:rFonts w:ascii="Arial" w:hAnsi="Arial" w:cs="Arial"/>
          <w:color w:val="00B050"/>
        </w:rPr>
        <w:t>AUTOR: JOSEFA MARIA DA SILVA</w:t>
      </w:r>
    </w:p>
    <w:p w:rsidR="00C7244B" w:rsidRDefault="00C7244B" w:rsidP="00C7244B">
      <w:pPr>
        <w:rPr>
          <w:rFonts w:ascii="Arial" w:hAnsi="Arial" w:cs="Arial"/>
        </w:rPr>
      </w:pPr>
      <w:r>
        <w:rPr>
          <w:rFonts w:ascii="Arial" w:hAnsi="Arial" w:cs="Arial"/>
          <w:color w:val="00B050"/>
        </w:rPr>
        <w:t>REU: ITAU SEGUROS S.A</w:t>
      </w:r>
    </w:p>
    <w:p w:rsidR="00C7244B" w:rsidRDefault="00C7244B" w:rsidP="00C7244B">
      <w:pPr>
        <w:rPr>
          <w:rFonts w:ascii="Arial" w:hAnsi="Arial" w:cs="Arial"/>
        </w:rPr>
      </w:pPr>
      <w:r>
        <w:rPr>
          <w:rFonts w:ascii="Arial" w:hAnsi="Arial" w:cs="Arial"/>
          <w:color w:val="00B050"/>
        </w:rPr>
        <w:t xml:space="preserve">PROCESSO: 8575020088170670 </w:t>
      </w:r>
    </w:p>
    <w:p w:rsidR="00C7244B" w:rsidRDefault="00C7244B" w:rsidP="00C7244B">
      <w:pPr>
        <w:rPr>
          <w:rFonts w:ascii="Arial" w:hAnsi="Arial" w:cs="Arial"/>
        </w:rPr>
      </w:pPr>
      <w:r>
        <w:rPr>
          <w:rFonts w:ascii="Arial" w:hAnsi="Arial" w:cs="Arial"/>
          <w:color w:val="00B050"/>
        </w:rPr>
        <w:t>Pasta Gproc:386556</w:t>
      </w:r>
    </w:p>
    <w:p w:rsidR="00C7244B" w:rsidRDefault="00C7244B" w:rsidP="00C7244B">
      <w:pPr>
        <w:rPr>
          <w:rFonts w:ascii="Arial" w:hAnsi="Arial" w:cs="Arial"/>
        </w:rPr>
      </w:pPr>
      <w:r>
        <w:rPr>
          <w:rFonts w:ascii="Arial" w:hAnsi="Arial" w:cs="Arial"/>
          <w:color w:val="00B050"/>
        </w:rPr>
        <w:t>PASTA SAJ: 2008-21214</w:t>
      </w:r>
    </w:p>
    <w:p w:rsidR="00C7244B" w:rsidRDefault="00C7244B" w:rsidP="00C7244B">
      <w:pPr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7244B" w:rsidRDefault="00C7244B" w:rsidP="00C7244B">
      <w:pPr>
        <w:rPr>
          <w:rFonts w:ascii="Arial" w:hAnsi="Arial" w:cs="Arial"/>
        </w:rPr>
      </w:pPr>
      <w:r>
        <w:rPr>
          <w:rFonts w:ascii="Arial" w:hAnsi="Arial" w:cs="Arial"/>
        </w:rPr>
        <w:t>Prezados Drs., boa tarde!</w:t>
      </w:r>
    </w:p>
    <w:p w:rsidR="00C7244B" w:rsidRDefault="00C7244B" w:rsidP="00C7244B">
      <w:pPr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7244B" w:rsidRDefault="00C7244B" w:rsidP="00C724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Apresentamos breve relatório da demanda em epígrafe, a fim de subsidiar v. deliberação na melhor estratégia a ser adotada.</w:t>
      </w:r>
    </w:p>
    <w:p w:rsidR="00C7244B" w:rsidRDefault="00C7244B" w:rsidP="00C7244B">
      <w:pPr>
        <w:jc w:val="both"/>
        <w:rPr>
          <w:rFonts w:ascii="Arial" w:hAnsi="Arial" w:cs="Arial"/>
        </w:rPr>
      </w:pPr>
    </w:p>
    <w:p w:rsidR="00C7244B" w:rsidRDefault="00C7244B" w:rsidP="00C724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Inicialmente cumpre informar que abrimos um chamado para abertura de pasta </w:t>
      </w:r>
      <w:proofErr w:type="gramStart"/>
      <w:r>
        <w:rPr>
          <w:rFonts w:ascii="Arial" w:hAnsi="Arial" w:cs="Arial"/>
        </w:rPr>
        <w:t>no SISJUR</w:t>
      </w:r>
      <w:proofErr w:type="gramEnd"/>
      <w:r>
        <w:rPr>
          <w:rFonts w:ascii="Arial" w:hAnsi="Arial" w:cs="Arial"/>
        </w:rPr>
        <w:t xml:space="preserve"> porém ainda estamos aguardando.</w:t>
      </w:r>
    </w:p>
    <w:p w:rsidR="00C7244B" w:rsidRDefault="00C7244B" w:rsidP="00C7244B">
      <w:pPr>
        <w:jc w:val="both"/>
        <w:rPr>
          <w:rFonts w:ascii="Arial" w:hAnsi="Arial" w:cs="Arial"/>
        </w:rPr>
      </w:pPr>
    </w:p>
    <w:p w:rsidR="00C7244B" w:rsidRDefault="00C7244B" w:rsidP="00C724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Trata-se de ação proposta em virtude de acidente ocorrido em 11/11/1989, onde se pleiteia indenização pelo Seguro DPVAT por morte do Sr. Severino Gomes da Silva, no valor de R$13.500,00 (Treze mil e Quinhentos reais).</w:t>
      </w:r>
    </w:p>
    <w:p w:rsidR="00C7244B" w:rsidRDefault="00C7244B" w:rsidP="00C7244B">
      <w:pPr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7244B" w:rsidRDefault="00C7244B" w:rsidP="00C724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Percebemos que a pasta foi aberta concorrentemente ao escritório GM, sendo o mesmo que participou da audiência conciliatória, sem que tenha sido apresentada defesa na ocasião. Contestação apresentada ulteriormente.</w:t>
      </w:r>
    </w:p>
    <w:p w:rsidR="00C7244B" w:rsidRDefault="00C7244B" w:rsidP="00C7244B">
      <w:pPr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7244B" w:rsidRDefault="00C7244B" w:rsidP="00C724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Sobreveio sentença reconhecendo os pleitos da autora, estipulando condenação em R$13.500,00, acrescidos de 20% de honorários sucumbenciais. Nada se abordou sobre os consectários legais no comando judicial.</w:t>
      </w:r>
    </w:p>
    <w:p w:rsidR="00C7244B" w:rsidRDefault="00C7244B" w:rsidP="00C7244B">
      <w:pPr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7244B" w:rsidRDefault="00C7244B" w:rsidP="00C724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Opusemos Embargos de Declaração, visando diminuir o percentual de honorários arbitrados, entendendo que caberia à parte adversa reclamar a omissão sobre correção monetária e juros de mora, mormente pelo acessório poder vir a compor o crédito da mesma.</w:t>
      </w:r>
    </w:p>
    <w:p w:rsidR="00C7244B" w:rsidRDefault="00C7244B" w:rsidP="00C7244B">
      <w:pPr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7244B" w:rsidRDefault="00C7244B" w:rsidP="00C724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Considerando a duplicidade de pastas, em 04/12/2017, submetemos à decisão dessa seguradora, a qual num primeiro momento entendeu que o patrocínio caberia ao escritório GM. Todavia, após pedido de reanálise do mesmo, ficou consignado em 13/12/2017, que o escritório João Barbosa seria o responsável pela condução do processo.</w:t>
      </w:r>
    </w:p>
    <w:p w:rsidR="00C7244B" w:rsidRDefault="00C7244B" w:rsidP="00C7244B">
      <w:pPr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7244B" w:rsidRDefault="00C7244B" w:rsidP="00C724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Diante disso, após reativada a pasta 386556 junto ao Gestor Processual, optamos por liquidar o julgado nos termos apresentados na decisão condenatória – visto que mais benéficos à seguradora, não se verificando interessante a interposição de recurso –, confiantes, ainda, que não haveria irresignação da parte autora, mormente pela mesma não ter se investido contra a r. sentença. Assim, realizamos o pagamento de R$16.200,00 em 05/01/2018.</w:t>
      </w:r>
    </w:p>
    <w:p w:rsidR="00C7244B" w:rsidRDefault="00C7244B" w:rsidP="00C7244B">
      <w:pPr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7244B" w:rsidRDefault="00C7244B" w:rsidP="00C724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Com a decisão dos aclaratórios, a parte autora opôs seus embargos de declaração, ventilando omissão acerca dos consectários legais, tendo sido apresentadas contrarrazões pelo escritório. O recurso autoral buscou saneamento da omissão na decisão de mérito quanto a incidência dos juros e da correção monetária.</w:t>
      </w:r>
    </w:p>
    <w:p w:rsidR="00C7244B" w:rsidRDefault="00C7244B" w:rsidP="00C7244B">
      <w:pPr>
        <w:jc w:val="both"/>
        <w:rPr>
          <w:rFonts w:ascii="Arial" w:hAnsi="Arial" w:cs="Arial"/>
        </w:rPr>
      </w:pPr>
    </w:p>
    <w:p w:rsidR="00C7244B" w:rsidRDefault="00C7244B" w:rsidP="00C7244B">
      <w:pPr>
        <w:rPr>
          <w:rFonts w:ascii="Arial" w:hAnsi="Arial" w:cs="Arial"/>
        </w:rPr>
      </w:pPr>
      <w:r>
        <w:rPr>
          <w:rFonts w:ascii="Arial" w:hAnsi="Arial" w:cs="Arial"/>
        </w:rPr>
        <w:t xml:space="preserve">Somado a isso, temos que a decisão estipulou a condenação alinhada com a Lei 11.482/07, ou seja, R$13.500,00, não obstante o acidente ter ocorrido em 11/11/1989. </w:t>
      </w:r>
    </w:p>
    <w:p w:rsidR="00C7244B" w:rsidRDefault="00C7244B" w:rsidP="00C7244B">
      <w:pPr>
        <w:rPr>
          <w:rFonts w:ascii="Arial" w:hAnsi="Arial" w:cs="Arial"/>
        </w:rPr>
      </w:pPr>
    </w:p>
    <w:p w:rsidR="00C7244B" w:rsidRDefault="00C7244B" w:rsidP="00C7244B">
      <w:pPr>
        <w:rPr>
          <w:rFonts w:ascii="Arial" w:hAnsi="Arial" w:cs="Arial"/>
        </w:rPr>
      </w:pPr>
      <w:r>
        <w:rPr>
          <w:rFonts w:ascii="Arial" w:hAnsi="Arial" w:cs="Arial"/>
        </w:rPr>
        <w:t>Ocorre que os Embargos da parte autora forma acolhidos nos seguintes termos:</w:t>
      </w:r>
    </w:p>
    <w:p w:rsidR="00C7244B" w:rsidRDefault="00C7244B" w:rsidP="00C7244B">
      <w:pPr>
        <w:rPr>
          <w:rFonts w:ascii="Arial" w:hAnsi="Arial" w:cs="Arial"/>
        </w:rPr>
      </w:pPr>
    </w:p>
    <w:p w:rsidR="00C7244B" w:rsidRDefault="00C7244B" w:rsidP="00C7244B">
      <w:pPr>
        <w:ind w:left="2268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lastRenderedPageBreak/>
        <w:t xml:space="preserve">‘Ante o exposto, conheço dos embargos e dou-lhe provimento para indicar que a sentença deverá utilizar como correção monetária tabela </w:t>
      </w:r>
      <w:proofErr w:type="spellStart"/>
      <w:r>
        <w:rPr>
          <w:rFonts w:ascii="Arial" w:hAnsi="Arial" w:cs="Arial"/>
          <w:i/>
          <w:iCs/>
        </w:rPr>
        <w:t>Encoge</w:t>
      </w:r>
      <w:proofErr w:type="spellEnd"/>
      <w:r>
        <w:rPr>
          <w:rFonts w:ascii="Arial" w:hAnsi="Arial" w:cs="Arial"/>
          <w:i/>
          <w:iCs/>
        </w:rPr>
        <w:t xml:space="preserve"> desde o evento, acrescidos de juros de mora de 1% ao mês desde a data do ato ilícito (súmula 54 do STJ), devendo o montante ser analisado em fase de liquidação Indefiro o pedido de levantamento de alvarás, eis que a parte demandada não realizou depósito do valor da condenação espontaneamente, devendo a parte autora, caso queira, ingressar com ação própria por meio do PJE. Intimem-se as partes. Após, arquive-se. Gravatá, 21 de maio de 2019. Brenda Azevedo Paes Barreto Teixeira Juíza Substituto”</w:t>
      </w:r>
    </w:p>
    <w:p w:rsidR="00C7244B" w:rsidRDefault="00C7244B" w:rsidP="00C7244B">
      <w:pPr>
        <w:ind w:left="2268"/>
        <w:jc w:val="both"/>
        <w:rPr>
          <w:rFonts w:ascii="Arial" w:hAnsi="Arial" w:cs="Arial"/>
          <w:i/>
          <w:iCs/>
        </w:rPr>
      </w:pPr>
    </w:p>
    <w:p w:rsidR="00C7244B" w:rsidRDefault="00C7244B" w:rsidP="00C7244B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Com isso nos depararemos com uma dupla correção. </w:t>
      </w:r>
    </w:p>
    <w:p w:rsidR="00C7244B" w:rsidRDefault="00C7244B" w:rsidP="00C7244B">
      <w:pPr>
        <w:rPr>
          <w:rFonts w:ascii="Arial" w:hAnsi="Arial" w:cs="Arial"/>
        </w:rPr>
      </w:pPr>
    </w:p>
    <w:p w:rsidR="00C7244B" w:rsidRDefault="00C7244B" w:rsidP="00C7244B">
      <w:pPr>
        <w:rPr>
          <w:rFonts w:ascii="Arial" w:hAnsi="Arial" w:cs="Arial"/>
        </w:rPr>
      </w:pPr>
      <w:r>
        <w:rPr>
          <w:rFonts w:ascii="Arial" w:hAnsi="Arial" w:cs="Arial"/>
        </w:rPr>
        <w:t>O prazo para interposição de Recurso de Apelação será dia 07/06/2019.</w:t>
      </w:r>
    </w:p>
    <w:p w:rsidR="00C7244B" w:rsidRDefault="00C7244B" w:rsidP="00C7244B">
      <w:pPr>
        <w:rPr>
          <w:rFonts w:ascii="Arial" w:hAnsi="Arial" w:cs="Arial"/>
        </w:rPr>
      </w:pPr>
    </w:p>
    <w:p w:rsidR="00C7244B" w:rsidRDefault="00C7244B" w:rsidP="00C724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No Recurso de Apelação poderemos alegar a violação à lei da época do sinistro bem como a ocorrência da dupla correção, entendemos que há possibilidade de êxito no recurso.</w:t>
      </w:r>
    </w:p>
    <w:p w:rsidR="00C7244B" w:rsidRDefault="00C7244B" w:rsidP="00C7244B">
      <w:pPr>
        <w:jc w:val="both"/>
        <w:rPr>
          <w:rFonts w:ascii="Arial" w:hAnsi="Arial" w:cs="Arial"/>
        </w:rPr>
      </w:pPr>
    </w:p>
    <w:p w:rsidR="00C7244B" w:rsidRDefault="00C7244B" w:rsidP="00C7244B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Caso o recurso de apelação seja provido o valor da condenação será de </w:t>
      </w:r>
      <w:r>
        <w:rPr>
          <w:rFonts w:ascii="Arial" w:hAnsi="Arial" w:cs="Arial"/>
          <w:b/>
          <w:bCs/>
        </w:rPr>
        <w:t>R$ 68.083,50 (sessenta e oito mil oitenta e três reais e cinquenta centavos),</w:t>
      </w:r>
      <w:r>
        <w:rPr>
          <w:rFonts w:ascii="Arial" w:hAnsi="Arial" w:cs="Arial"/>
        </w:rPr>
        <w:t xml:space="preserve"> já descontado valor de R$15.200,00 (quinze mil e duzentos reais) já adimplido</w:t>
      </w:r>
      <w:r>
        <w:rPr>
          <w:rFonts w:ascii="Arial" w:hAnsi="Arial" w:cs="Arial"/>
          <w:b/>
          <w:bCs/>
        </w:rPr>
        <w:t xml:space="preserve"> (calculo anexo).</w:t>
      </w:r>
    </w:p>
    <w:p w:rsidR="00C7244B" w:rsidRDefault="00C7244B" w:rsidP="00C7244B">
      <w:pPr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7244B" w:rsidRDefault="00C7244B" w:rsidP="00C724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Assim, fomos procurados pelo advogado </w:t>
      </w:r>
      <w:proofErr w:type="spellStart"/>
      <w:r>
        <w:rPr>
          <w:rFonts w:ascii="Arial" w:hAnsi="Arial" w:cs="Arial"/>
          <w:i/>
          <w:iCs/>
        </w:rPr>
        <w:t>ex</w:t>
      </w:r>
      <w:proofErr w:type="spellEnd"/>
      <w:r>
        <w:rPr>
          <w:rFonts w:ascii="Arial" w:hAnsi="Arial" w:cs="Arial"/>
          <w:i/>
          <w:iCs/>
        </w:rPr>
        <w:t xml:space="preserve"> adverso</w:t>
      </w:r>
      <w:r>
        <w:rPr>
          <w:rFonts w:ascii="Arial" w:hAnsi="Arial" w:cs="Arial"/>
        </w:rPr>
        <w:t xml:space="preserve"> para solucionarmos o litígio considerando R$13.500,00 acrescido de correção monetária d</w:t>
      </w:r>
      <w:r>
        <w:rPr>
          <w:rFonts w:ascii="Arial" w:hAnsi="Arial" w:cs="Arial"/>
          <w:color w:val="000000"/>
        </w:rPr>
        <w:t xml:space="preserve">a data do ajuizamento da ação (25/04/2008) e juros a partir da citação, o que alcança a monta de </w:t>
      </w:r>
      <w:r>
        <w:rPr>
          <w:rFonts w:ascii="Arial" w:hAnsi="Arial" w:cs="Arial"/>
          <w:b/>
          <w:bCs/>
        </w:rPr>
        <w:t>R$ 47.193,90 (</w:t>
      </w:r>
      <w:proofErr w:type="gramStart"/>
      <w:r>
        <w:rPr>
          <w:rFonts w:ascii="Arial" w:hAnsi="Arial" w:cs="Arial"/>
          <w:b/>
          <w:bCs/>
        </w:rPr>
        <w:t>quarenta e sete mil cento</w:t>
      </w:r>
      <w:proofErr w:type="gramEnd"/>
      <w:r>
        <w:rPr>
          <w:rFonts w:ascii="Arial" w:hAnsi="Arial" w:cs="Arial"/>
          <w:b/>
          <w:bCs/>
        </w:rPr>
        <w:t xml:space="preserve"> e noventa e três reais e noventa centavos) </w:t>
      </w:r>
      <w:r>
        <w:rPr>
          <w:rFonts w:ascii="Arial" w:hAnsi="Arial" w:cs="Arial"/>
        </w:rPr>
        <w:t xml:space="preserve">já descontado valor de R$15.200,00 (quinze mil e duzentos reais) já adimplido </w:t>
      </w:r>
      <w:r>
        <w:rPr>
          <w:rFonts w:ascii="Arial" w:hAnsi="Arial" w:cs="Arial"/>
          <w:b/>
          <w:bCs/>
        </w:rPr>
        <w:t>(calculo anexo).</w:t>
      </w:r>
    </w:p>
    <w:p w:rsidR="00C7244B" w:rsidRDefault="00C7244B" w:rsidP="00C7244B">
      <w:pPr>
        <w:jc w:val="both"/>
        <w:rPr>
          <w:rFonts w:ascii="Arial" w:hAnsi="Arial" w:cs="Arial"/>
        </w:rPr>
      </w:pPr>
    </w:p>
    <w:p w:rsidR="00C7244B" w:rsidRDefault="00C7244B" w:rsidP="00C724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Destacamos que o mesmo nos enviará petição dando quitação dos valores depositados.</w:t>
      </w:r>
    </w:p>
    <w:p w:rsidR="00C7244B" w:rsidRDefault="00C7244B" w:rsidP="00C7244B">
      <w:pPr>
        <w:rPr>
          <w:rFonts w:ascii="Arial" w:hAnsi="Arial" w:cs="Arial"/>
        </w:rPr>
      </w:pPr>
    </w:p>
    <w:p w:rsidR="00C7244B" w:rsidRDefault="00C7244B" w:rsidP="00C724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Considerando que a proposta é mais benéfica, indagamos o interesse dessa Seguradora em liquidar o saldo remanescente nos termos propostos.</w:t>
      </w:r>
    </w:p>
    <w:p w:rsidR="00154333" w:rsidRDefault="00154333">
      <w:bookmarkStart w:id="0" w:name="_GoBack"/>
      <w:bookmarkEnd w:id="0"/>
    </w:p>
    <w:sectPr w:rsidR="001543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44B"/>
    <w:rsid w:val="00154333"/>
    <w:rsid w:val="004B4ACA"/>
    <w:rsid w:val="00C7244B"/>
    <w:rsid w:val="00FA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561BEA-F00D-49AE-9C5F-2D8A369B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44B"/>
    <w:pPr>
      <w:spacing w:after="0" w:line="240" w:lineRule="auto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698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Araujo</dc:creator>
  <cp:keywords/>
  <dc:description/>
  <cp:lastModifiedBy>Walter Araujo</cp:lastModifiedBy>
  <cp:revision>1</cp:revision>
  <dcterms:created xsi:type="dcterms:W3CDTF">2019-07-25T19:44:00Z</dcterms:created>
  <dcterms:modified xsi:type="dcterms:W3CDTF">2019-07-25T19:45:00Z</dcterms:modified>
</cp:coreProperties>
</file>