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3C57" w:rsidRDefault="00E03C57" w:rsidP="00E03C57">
      <w:pPr>
        <w:spacing w:after="0" w:line="240" w:lineRule="auto"/>
        <w:jc w:val="both"/>
        <w:rPr>
          <w:rFonts w:ascii="Arial" w:eastAsia="Times New Roman" w:hAnsi="Arial" w:cs="Arial"/>
          <w:color w:val="000000" w:themeColor="text1"/>
          <w:szCs w:val="17"/>
          <w:lang w:eastAsia="pt-BR"/>
        </w:rPr>
      </w:pPr>
      <w:r w:rsidRPr="00E03C57">
        <w:rPr>
          <w:rFonts w:ascii="Arial" w:eastAsia="Times New Roman" w:hAnsi="Arial" w:cs="Arial"/>
          <w:color w:val="000000" w:themeColor="text1"/>
          <w:szCs w:val="17"/>
          <w:lang w:eastAsia="pt-BR"/>
        </w:rPr>
        <w:t xml:space="preserve">Trata-se de demanda ajuizada pela irmã da vítima de acidente ocorrido em 24/03/1990 causado por veículo não identificado. </w:t>
      </w:r>
    </w:p>
    <w:p w:rsidR="00E03C57" w:rsidRDefault="00E03C57" w:rsidP="00E03C57">
      <w:pPr>
        <w:spacing w:after="0" w:line="240" w:lineRule="auto"/>
        <w:jc w:val="both"/>
        <w:rPr>
          <w:rFonts w:ascii="Arial" w:eastAsia="Times New Roman" w:hAnsi="Arial" w:cs="Arial"/>
          <w:color w:val="000000" w:themeColor="text1"/>
          <w:szCs w:val="17"/>
          <w:lang w:eastAsia="pt-BR"/>
        </w:rPr>
      </w:pPr>
    </w:p>
    <w:p w:rsidR="00E03C57" w:rsidRDefault="00E03C57" w:rsidP="00E03C57">
      <w:pPr>
        <w:spacing w:after="0" w:line="240" w:lineRule="auto"/>
        <w:jc w:val="both"/>
        <w:rPr>
          <w:rFonts w:ascii="Arial" w:eastAsia="Times New Roman" w:hAnsi="Arial" w:cs="Arial"/>
          <w:color w:val="000000" w:themeColor="text1"/>
          <w:szCs w:val="17"/>
          <w:lang w:eastAsia="pt-BR"/>
        </w:rPr>
      </w:pPr>
      <w:r w:rsidRPr="00E03C57">
        <w:rPr>
          <w:rFonts w:ascii="Arial" w:eastAsia="Times New Roman" w:hAnsi="Arial" w:cs="Arial"/>
          <w:color w:val="000000" w:themeColor="text1"/>
          <w:szCs w:val="17"/>
          <w:lang w:eastAsia="pt-BR"/>
        </w:rPr>
        <w:t xml:space="preserve">Conforme certidão de óbito a vítima era solteira, pais falecidos e não possuía filhos. </w:t>
      </w:r>
    </w:p>
    <w:p w:rsidR="00E03C57" w:rsidRDefault="00E03C57" w:rsidP="00E03C57">
      <w:pPr>
        <w:spacing w:after="0" w:line="240" w:lineRule="auto"/>
        <w:jc w:val="both"/>
        <w:rPr>
          <w:rFonts w:ascii="Arial" w:eastAsia="Times New Roman" w:hAnsi="Arial" w:cs="Arial"/>
          <w:color w:val="000000" w:themeColor="text1"/>
          <w:szCs w:val="17"/>
          <w:lang w:eastAsia="pt-BR"/>
        </w:rPr>
      </w:pPr>
    </w:p>
    <w:p w:rsidR="00E03C57" w:rsidRDefault="00E03C57" w:rsidP="00E03C57">
      <w:pPr>
        <w:spacing w:after="0" w:line="240" w:lineRule="auto"/>
        <w:jc w:val="both"/>
        <w:rPr>
          <w:rFonts w:ascii="Arial" w:eastAsia="Times New Roman" w:hAnsi="Arial" w:cs="Arial"/>
          <w:color w:val="000000" w:themeColor="text1"/>
          <w:szCs w:val="17"/>
          <w:lang w:eastAsia="pt-BR"/>
        </w:rPr>
      </w:pPr>
      <w:r w:rsidRPr="00E03C57">
        <w:rPr>
          <w:rFonts w:ascii="Arial" w:eastAsia="Times New Roman" w:hAnsi="Arial" w:cs="Arial"/>
          <w:color w:val="000000" w:themeColor="text1"/>
          <w:szCs w:val="17"/>
          <w:lang w:eastAsia="pt-BR"/>
        </w:rPr>
        <w:t xml:space="preserve">SENTENÇA: </w:t>
      </w:r>
    </w:p>
    <w:p w:rsidR="00E03C57" w:rsidRDefault="00E03C57" w:rsidP="00E03C57">
      <w:pPr>
        <w:spacing w:after="0" w:line="240" w:lineRule="auto"/>
        <w:jc w:val="both"/>
        <w:rPr>
          <w:rFonts w:ascii="Arial" w:eastAsia="Times New Roman" w:hAnsi="Arial" w:cs="Arial"/>
          <w:color w:val="000000" w:themeColor="text1"/>
          <w:szCs w:val="17"/>
          <w:lang w:eastAsia="pt-BR"/>
        </w:rPr>
      </w:pPr>
    </w:p>
    <w:p w:rsidR="00E03C57" w:rsidRDefault="00E03C57" w:rsidP="00E03C57">
      <w:pPr>
        <w:spacing w:after="0" w:line="240" w:lineRule="auto"/>
        <w:jc w:val="both"/>
        <w:rPr>
          <w:rFonts w:ascii="Arial" w:eastAsia="Times New Roman" w:hAnsi="Arial" w:cs="Arial"/>
          <w:color w:val="000000" w:themeColor="text1"/>
          <w:szCs w:val="17"/>
          <w:lang w:eastAsia="pt-BR"/>
        </w:rPr>
      </w:pPr>
      <w:r w:rsidRPr="00E03C57">
        <w:rPr>
          <w:rFonts w:ascii="Arial" w:eastAsia="Times New Roman" w:hAnsi="Arial" w:cs="Arial"/>
          <w:color w:val="000000" w:themeColor="text1"/>
          <w:szCs w:val="17"/>
          <w:lang w:eastAsia="pt-BR"/>
        </w:rPr>
        <w:t>“[...] O percentual dos juros moratórios é o legal de 1% ao mês. Calcada nos parâmetros fixados nas premissas anteriores, reputo devido à reque</w:t>
      </w:r>
      <w:r>
        <w:rPr>
          <w:rFonts w:ascii="Arial" w:eastAsia="Times New Roman" w:hAnsi="Arial" w:cs="Arial"/>
          <w:color w:val="000000" w:themeColor="text1"/>
          <w:szCs w:val="17"/>
          <w:lang w:eastAsia="pt-BR"/>
        </w:rPr>
        <w:t>rente o importe de R$ 14.641,40</w:t>
      </w:r>
      <w:r w:rsidRPr="00E03C57">
        <w:rPr>
          <w:rFonts w:ascii="Arial" w:eastAsia="Times New Roman" w:hAnsi="Arial" w:cs="Arial"/>
          <w:color w:val="000000" w:themeColor="text1"/>
          <w:szCs w:val="17"/>
          <w:lang w:eastAsia="pt-BR"/>
        </w:rPr>
        <w:t xml:space="preserve">, resultado da seguinte operação matemática: R$ 732,07 </w:t>
      </w:r>
      <w:proofErr w:type="gramStart"/>
      <w:r w:rsidRPr="00E03C57">
        <w:rPr>
          <w:rFonts w:ascii="Arial" w:eastAsia="Times New Roman" w:hAnsi="Arial" w:cs="Arial"/>
          <w:color w:val="000000" w:themeColor="text1"/>
          <w:szCs w:val="17"/>
          <w:lang w:eastAsia="pt-BR"/>
        </w:rPr>
        <w:t>x</w:t>
      </w:r>
      <w:proofErr w:type="gramEnd"/>
      <w:r w:rsidRPr="00E03C57">
        <w:rPr>
          <w:rFonts w:ascii="Arial" w:eastAsia="Times New Roman" w:hAnsi="Arial" w:cs="Arial"/>
          <w:color w:val="000000" w:themeColor="text1"/>
          <w:szCs w:val="17"/>
          <w:lang w:eastAsia="pt-BR"/>
        </w:rPr>
        <w:t xml:space="preserve"> </w:t>
      </w:r>
      <w:r>
        <w:rPr>
          <w:rFonts w:ascii="Arial" w:eastAsia="Times New Roman" w:hAnsi="Arial" w:cs="Arial"/>
          <w:color w:val="000000" w:themeColor="text1"/>
          <w:szCs w:val="17"/>
          <w:lang w:eastAsia="pt-BR"/>
        </w:rPr>
        <w:t>20 = R$ 14.641,40. Sobre o qual</w:t>
      </w:r>
      <w:r w:rsidRPr="00E03C57">
        <w:rPr>
          <w:rFonts w:ascii="Arial" w:eastAsia="Times New Roman" w:hAnsi="Arial" w:cs="Arial"/>
          <w:color w:val="000000" w:themeColor="text1"/>
          <w:szCs w:val="17"/>
          <w:lang w:eastAsia="pt-BR"/>
        </w:rPr>
        <w:t xml:space="preserve">, aplica juros de mora de 1%. A conversão do salário mínimo já corrigido pelo IPC foi </w:t>
      </w:r>
      <w:proofErr w:type="gramStart"/>
      <w:r w:rsidRPr="00E03C57">
        <w:rPr>
          <w:rFonts w:ascii="Arial" w:eastAsia="Times New Roman" w:hAnsi="Arial" w:cs="Arial"/>
          <w:color w:val="000000" w:themeColor="text1"/>
          <w:szCs w:val="17"/>
          <w:lang w:eastAsia="pt-BR"/>
        </w:rPr>
        <w:t>realizado</w:t>
      </w:r>
      <w:proofErr w:type="gramEnd"/>
      <w:r w:rsidRPr="00E03C57">
        <w:rPr>
          <w:rFonts w:ascii="Arial" w:eastAsia="Times New Roman" w:hAnsi="Arial" w:cs="Arial"/>
          <w:color w:val="000000" w:themeColor="text1"/>
          <w:szCs w:val="17"/>
          <w:lang w:eastAsia="pt-BR"/>
        </w:rPr>
        <w:t xml:space="preserve"> pela calculadora cidadão no Banco Central do Brasil. </w:t>
      </w:r>
    </w:p>
    <w:p w:rsidR="00E03C57" w:rsidRDefault="00E03C57" w:rsidP="00E03C57">
      <w:pPr>
        <w:spacing w:after="0" w:line="240" w:lineRule="auto"/>
        <w:jc w:val="both"/>
        <w:rPr>
          <w:rFonts w:ascii="Arial" w:eastAsia="Times New Roman" w:hAnsi="Arial" w:cs="Arial"/>
          <w:color w:val="000000" w:themeColor="text1"/>
          <w:szCs w:val="17"/>
          <w:lang w:eastAsia="pt-BR"/>
        </w:rPr>
      </w:pPr>
    </w:p>
    <w:p w:rsidR="00E03C57" w:rsidRDefault="00E03C57" w:rsidP="00E03C57">
      <w:pPr>
        <w:spacing w:after="0" w:line="240" w:lineRule="auto"/>
        <w:jc w:val="both"/>
        <w:rPr>
          <w:rFonts w:ascii="Arial" w:eastAsia="Times New Roman" w:hAnsi="Arial" w:cs="Arial"/>
          <w:color w:val="000000" w:themeColor="text1"/>
          <w:szCs w:val="17"/>
          <w:lang w:eastAsia="pt-BR"/>
        </w:rPr>
      </w:pPr>
      <w:r w:rsidRPr="00E03C57">
        <w:rPr>
          <w:rFonts w:ascii="Arial" w:eastAsia="Times New Roman" w:hAnsi="Arial" w:cs="Arial"/>
          <w:color w:val="000000" w:themeColor="text1"/>
          <w:szCs w:val="17"/>
          <w:lang w:eastAsia="pt-BR"/>
        </w:rPr>
        <w:t xml:space="preserve">Ante todo o exposto, julgo, parcialmente, procedente a pretensão formulada na inicial, para condenar a parte demandada a pagar à autora a indenização referente ao Seguro Obrigatório DPVAT, a qual fixo no importe de 20 (vinte) salários mínimos, cujo valor a ser considerado é o vigente ao tempo do sinistro, devidamente corrigido, com incidência de juros de mora a contar da citação, descontado o valor recebido pela autora administrativamente, qual seja, 20 salários mínimos, que representam a quantia de R$ 14.641,40. </w:t>
      </w:r>
    </w:p>
    <w:p w:rsidR="00E03C57" w:rsidRDefault="00E03C57" w:rsidP="00E03C57">
      <w:pPr>
        <w:spacing w:after="0" w:line="240" w:lineRule="auto"/>
        <w:jc w:val="both"/>
        <w:rPr>
          <w:rFonts w:ascii="Arial" w:eastAsia="Times New Roman" w:hAnsi="Arial" w:cs="Arial"/>
          <w:color w:val="000000" w:themeColor="text1"/>
          <w:szCs w:val="17"/>
          <w:lang w:eastAsia="pt-BR"/>
        </w:rPr>
      </w:pPr>
    </w:p>
    <w:p w:rsidR="00E03C57" w:rsidRDefault="00E03C57" w:rsidP="00E03C57">
      <w:pPr>
        <w:spacing w:after="0" w:line="240" w:lineRule="auto"/>
        <w:jc w:val="both"/>
        <w:rPr>
          <w:rFonts w:ascii="Arial" w:eastAsia="Times New Roman" w:hAnsi="Arial" w:cs="Arial"/>
          <w:color w:val="000000" w:themeColor="text1"/>
          <w:szCs w:val="17"/>
          <w:lang w:eastAsia="pt-BR"/>
        </w:rPr>
      </w:pPr>
      <w:r w:rsidRPr="00E03C57">
        <w:rPr>
          <w:rFonts w:ascii="Arial" w:eastAsia="Times New Roman" w:hAnsi="Arial" w:cs="Arial"/>
          <w:color w:val="000000" w:themeColor="text1"/>
          <w:szCs w:val="17"/>
          <w:lang w:eastAsia="pt-BR"/>
        </w:rPr>
        <w:t xml:space="preserve">O índice de correção monetária a ser utilizado a partir da data desta sentença e até a data do pagamento deverá ser o da Tabela 1 da Justiça Federal e os juros de mora serão de 1% (um por cento) ao mês a contar da citação válida. Em face da sucumbência recíproca, tendo em vista que o pedido foi deferido em parte (50%), condeno as partes na proporção de 50% para cada um. Isento o autor do pagamento das custas, em face da gratuidade. Condeno a ré ao pagamento de 50% das custas. Arbitro honorários advocatícios no importe de 10% sobre o valor da condenação, outrossim, resta compensados </w:t>
      </w:r>
      <w:proofErr w:type="gramStart"/>
      <w:r w:rsidRPr="00E03C57">
        <w:rPr>
          <w:rFonts w:ascii="Arial" w:eastAsia="Times New Roman" w:hAnsi="Arial" w:cs="Arial"/>
          <w:color w:val="000000" w:themeColor="text1"/>
          <w:szCs w:val="17"/>
          <w:lang w:eastAsia="pt-BR"/>
        </w:rPr>
        <w:t>reciprocamente.”</w:t>
      </w:r>
      <w:proofErr w:type="gramEnd"/>
      <w:r w:rsidRPr="00E03C57">
        <w:rPr>
          <w:rFonts w:ascii="Arial" w:eastAsia="Times New Roman" w:hAnsi="Arial" w:cs="Arial"/>
          <w:color w:val="000000" w:themeColor="text1"/>
          <w:szCs w:val="17"/>
          <w:lang w:eastAsia="pt-BR"/>
        </w:rPr>
        <w:t xml:space="preserve"> </w:t>
      </w:r>
    </w:p>
    <w:p w:rsidR="00E03C57" w:rsidRDefault="00E03C57" w:rsidP="00E03C57">
      <w:pPr>
        <w:spacing w:after="0" w:line="240" w:lineRule="auto"/>
        <w:jc w:val="both"/>
        <w:rPr>
          <w:rFonts w:ascii="Arial" w:eastAsia="Times New Roman" w:hAnsi="Arial" w:cs="Arial"/>
          <w:color w:val="000000" w:themeColor="text1"/>
          <w:szCs w:val="17"/>
          <w:lang w:eastAsia="pt-BR"/>
        </w:rPr>
      </w:pPr>
    </w:p>
    <w:p w:rsidR="00E03C57" w:rsidRDefault="00E03C57" w:rsidP="00E03C57">
      <w:pPr>
        <w:spacing w:after="0" w:line="240" w:lineRule="auto"/>
        <w:jc w:val="both"/>
        <w:rPr>
          <w:rFonts w:ascii="Arial" w:eastAsia="Times New Roman" w:hAnsi="Arial" w:cs="Arial"/>
          <w:color w:val="000000" w:themeColor="text1"/>
          <w:szCs w:val="17"/>
          <w:lang w:eastAsia="pt-BR"/>
        </w:rPr>
      </w:pPr>
      <w:r w:rsidRPr="00E03C57">
        <w:rPr>
          <w:rFonts w:ascii="Arial" w:eastAsia="Times New Roman" w:hAnsi="Arial" w:cs="Arial"/>
          <w:color w:val="000000" w:themeColor="text1"/>
          <w:szCs w:val="17"/>
          <w:lang w:eastAsia="pt-BR"/>
        </w:rPr>
        <w:t xml:space="preserve">ACÓRDÃO: </w:t>
      </w:r>
    </w:p>
    <w:p w:rsidR="00E03C57" w:rsidRDefault="00E03C57" w:rsidP="00E03C57">
      <w:pPr>
        <w:spacing w:after="0" w:line="240" w:lineRule="auto"/>
        <w:jc w:val="both"/>
        <w:rPr>
          <w:rFonts w:ascii="Arial" w:eastAsia="Times New Roman" w:hAnsi="Arial" w:cs="Arial"/>
          <w:color w:val="000000" w:themeColor="text1"/>
          <w:szCs w:val="17"/>
          <w:lang w:eastAsia="pt-BR"/>
        </w:rPr>
      </w:pPr>
    </w:p>
    <w:p w:rsidR="00E03C57" w:rsidRDefault="00E03C57" w:rsidP="00E03C57">
      <w:pPr>
        <w:spacing w:after="0" w:line="240" w:lineRule="auto"/>
        <w:jc w:val="both"/>
        <w:rPr>
          <w:rFonts w:ascii="Arial" w:eastAsia="Times New Roman" w:hAnsi="Arial" w:cs="Arial"/>
          <w:color w:val="000000" w:themeColor="text1"/>
          <w:szCs w:val="17"/>
          <w:lang w:eastAsia="pt-BR"/>
        </w:rPr>
      </w:pPr>
      <w:r w:rsidRPr="00E03C57">
        <w:rPr>
          <w:rFonts w:ascii="Arial" w:eastAsia="Times New Roman" w:hAnsi="Arial" w:cs="Arial"/>
          <w:color w:val="000000" w:themeColor="text1"/>
          <w:szCs w:val="17"/>
          <w:lang w:eastAsia="pt-BR"/>
        </w:rPr>
        <w:t xml:space="preserve">“Acordam os Desembargadores que integram a 3ª Câmara Cível deste Egrégio Tribunal de Justiça, à unanimidade de votos, sem </w:t>
      </w:r>
      <w:proofErr w:type="spellStart"/>
      <w:r w:rsidRPr="00E03C57">
        <w:rPr>
          <w:rFonts w:ascii="Arial" w:eastAsia="Times New Roman" w:hAnsi="Arial" w:cs="Arial"/>
          <w:color w:val="000000" w:themeColor="text1"/>
          <w:szCs w:val="17"/>
          <w:lang w:eastAsia="pt-BR"/>
        </w:rPr>
        <w:t>opinamento</w:t>
      </w:r>
      <w:proofErr w:type="spellEnd"/>
      <w:r w:rsidRPr="00E03C57">
        <w:rPr>
          <w:rFonts w:ascii="Arial" w:eastAsia="Times New Roman" w:hAnsi="Arial" w:cs="Arial"/>
          <w:color w:val="000000" w:themeColor="text1"/>
          <w:szCs w:val="17"/>
          <w:lang w:eastAsia="pt-BR"/>
        </w:rPr>
        <w:t xml:space="preserve"> ministerial, em conhecer dos recursos interpostos pelas partes e, no mérito, dar provimento parcial à apelação da autora/apelante para reformar em parte a sentença, quanto ao termo inicial da correção monetária desde o evento danoso e, sobre a aplicação do índice pelo INPC, adiante, pela mesma votação, rejeitar as prejudiciais de mérito suscitadas e, no mérito recursal, negar provimento ao recurso interposto pela Seguradora, nos termos do voto do Relator, parte integrante deste.” </w:t>
      </w:r>
    </w:p>
    <w:p w:rsidR="00E03C57" w:rsidRDefault="00E03C57" w:rsidP="00E03C57">
      <w:pPr>
        <w:spacing w:after="0" w:line="240" w:lineRule="auto"/>
        <w:jc w:val="both"/>
        <w:rPr>
          <w:rFonts w:ascii="Arial" w:eastAsia="Times New Roman" w:hAnsi="Arial" w:cs="Arial"/>
          <w:color w:val="000000" w:themeColor="text1"/>
          <w:szCs w:val="17"/>
          <w:lang w:eastAsia="pt-BR"/>
        </w:rPr>
      </w:pPr>
    </w:p>
    <w:p w:rsidR="00E03C57" w:rsidRDefault="00E03C57" w:rsidP="00E03C57">
      <w:pPr>
        <w:spacing w:after="0" w:line="240" w:lineRule="auto"/>
        <w:jc w:val="both"/>
        <w:rPr>
          <w:rFonts w:ascii="Arial" w:eastAsia="Times New Roman" w:hAnsi="Arial" w:cs="Arial"/>
          <w:color w:val="000000" w:themeColor="text1"/>
          <w:szCs w:val="17"/>
          <w:lang w:eastAsia="pt-BR"/>
        </w:rPr>
      </w:pPr>
    </w:p>
    <w:p w:rsidR="00E03C57" w:rsidRDefault="00E03C57" w:rsidP="00E03C57">
      <w:pPr>
        <w:spacing w:after="0" w:line="240" w:lineRule="auto"/>
        <w:jc w:val="both"/>
        <w:rPr>
          <w:rFonts w:ascii="Arial" w:eastAsia="Times New Roman" w:hAnsi="Arial" w:cs="Arial"/>
          <w:color w:val="000000" w:themeColor="text1"/>
          <w:szCs w:val="17"/>
          <w:lang w:eastAsia="pt-BR"/>
        </w:rPr>
      </w:pPr>
      <w:r w:rsidRPr="00E03C57">
        <w:rPr>
          <w:rFonts w:ascii="Arial" w:eastAsia="Times New Roman" w:hAnsi="Arial" w:cs="Arial"/>
          <w:color w:val="000000" w:themeColor="text1"/>
          <w:szCs w:val="17"/>
          <w:lang w:eastAsia="pt-BR"/>
        </w:rPr>
        <w:t xml:space="preserve">Assim, considerando que o valor em salários mínimos da data da sentença R$14.641,40 (já corrigidos em julho de 2013), e novamente corrigi-lo a partir da data do sinistro até os dias atuais, caracterizada está a dupla correção, havendo o chamado bis in idem foram opostos Embargos de declaração. </w:t>
      </w:r>
    </w:p>
    <w:p w:rsidR="00E03C57" w:rsidRDefault="00E03C57" w:rsidP="00E03C57">
      <w:pPr>
        <w:spacing w:after="0" w:line="240" w:lineRule="auto"/>
        <w:jc w:val="both"/>
        <w:rPr>
          <w:rFonts w:ascii="Arial" w:eastAsia="Times New Roman" w:hAnsi="Arial" w:cs="Arial"/>
          <w:color w:val="000000" w:themeColor="text1"/>
          <w:szCs w:val="17"/>
          <w:lang w:eastAsia="pt-BR"/>
        </w:rPr>
      </w:pPr>
    </w:p>
    <w:p w:rsidR="00E03C57" w:rsidRDefault="00E03C57" w:rsidP="00E03C57">
      <w:pPr>
        <w:spacing w:after="0" w:line="240" w:lineRule="auto"/>
        <w:jc w:val="both"/>
        <w:rPr>
          <w:rFonts w:ascii="Arial" w:eastAsia="Times New Roman" w:hAnsi="Arial" w:cs="Arial"/>
          <w:color w:val="000000" w:themeColor="text1"/>
          <w:szCs w:val="17"/>
          <w:lang w:eastAsia="pt-BR"/>
        </w:rPr>
      </w:pPr>
    </w:p>
    <w:p w:rsidR="00E03C57" w:rsidRDefault="00E03C57" w:rsidP="00E03C57">
      <w:pPr>
        <w:spacing w:after="0" w:line="240" w:lineRule="auto"/>
        <w:jc w:val="both"/>
        <w:rPr>
          <w:rFonts w:ascii="Arial" w:eastAsia="Times New Roman" w:hAnsi="Arial" w:cs="Arial"/>
          <w:color w:val="000000" w:themeColor="text1"/>
          <w:szCs w:val="17"/>
          <w:lang w:eastAsia="pt-BR"/>
        </w:rPr>
      </w:pPr>
      <w:r w:rsidRPr="00E03C57">
        <w:rPr>
          <w:rFonts w:ascii="Arial" w:eastAsia="Times New Roman" w:hAnsi="Arial" w:cs="Arial"/>
          <w:color w:val="000000" w:themeColor="text1"/>
          <w:szCs w:val="17"/>
          <w:lang w:eastAsia="pt-BR"/>
        </w:rPr>
        <w:t xml:space="preserve">DECISÃO EMBARGOS: </w:t>
      </w:r>
    </w:p>
    <w:p w:rsidR="00E03C57" w:rsidRDefault="00E03C57" w:rsidP="00E03C57">
      <w:pPr>
        <w:spacing w:after="0" w:line="240" w:lineRule="auto"/>
        <w:jc w:val="both"/>
        <w:rPr>
          <w:rFonts w:ascii="Arial" w:eastAsia="Times New Roman" w:hAnsi="Arial" w:cs="Arial"/>
          <w:color w:val="000000" w:themeColor="text1"/>
          <w:szCs w:val="17"/>
          <w:lang w:eastAsia="pt-BR"/>
        </w:rPr>
      </w:pPr>
    </w:p>
    <w:p w:rsidR="00E03C57" w:rsidRDefault="00E03C57" w:rsidP="00E03C57">
      <w:pPr>
        <w:spacing w:after="0" w:line="240" w:lineRule="auto"/>
        <w:jc w:val="both"/>
        <w:rPr>
          <w:rFonts w:ascii="Arial" w:eastAsia="Times New Roman" w:hAnsi="Arial" w:cs="Arial"/>
          <w:color w:val="000000" w:themeColor="text1"/>
          <w:szCs w:val="17"/>
          <w:lang w:eastAsia="pt-BR"/>
        </w:rPr>
      </w:pPr>
      <w:r w:rsidRPr="00E03C57">
        <w:rPr>
          <w:rFonts w:ascii="Arial" w:eastAsia="Times New Roman" w:hAnsi="Arial" w:cs="Arial"/>
          <w:color w:val="000000" w:themeColor="text1"/>
          <w:szCs w:val="17"/>
          <w:lang w:eastAsia="pt-BR"/>
        </w:rPr>
        <w:t xml:space="preserve">EMBARGOS DE DECLARAÇÃO. APELAÇÃO CÍVEL. AÇÃO DE COBRANÇA SEGURO DPVAT. ALEGAÇÃO DE CONTRADIÇÃO E ERRO DE FATO. INOCORRÊNCIA. PRETENSÃO DE REDISCUTIR A MATÉRIA POSTA NO RECURSO E JÁ APRECIADA NO ACÓRDÃO EMBARGADO, O QUE NÃO É PERMITIDO PELO </w:t>
      </w:r>
      <w:r w:rsidRPr="00E03C57">
        <w:rPr>
          <w:rFonts w:ascii="Arial" w:eastAsia="Times New Roman" w:hAnsi="Arial" w:cs="Arial"/>
          <w:color w:val="000000" w:themeColor="text1"/>
          <w:szCs w:val="17"/>
          <w:lang w:eastAsia="pt-BR"/>
        </w:rPr>
        <w:lastRenderedPageBreak/>
        <w:t xml:space="preserve">SISTEMA PROCESSUAL VIGENTE (ART. 1.022, DO CPC). EMBARGOS DE DECLARAÇÃO CONHECIDOS E REJEITADOS. </w:t>
      </w:r>
    </w:p>
    <w:p w:rsidR="00E03C57" w:rsidRDefault="00E03C57" w:rsidP="00E03C57">
      <w:pPr>
        <w:spacing w:after="0" w:line="240" w:lineRule="auto"/>
        <w:jc w:val="both"/>
        <w:rPr>
          <w:rFonts w:ascii="Arial" w:eastAsia="Times New Roman" w:hAnsi="Arial" w:cs="Arial"/>
          <w:color w:val="000000" w:themeColor="text1"/>
          <w:szCs w:val="17"/>
          <w:lang w:eastAsia="pt-BR"/>
        </w:rPr>
      </w:pPr>
    </w:p>
    <w:p w:rsidR="00E03C57" w:rsidRDefault="00E03C57" w:rsidP="00E03C57">
      <w:pPr>
        <w:spacing w:after="0" w:line="240" w:lineRule="auto"/>
        <w:jc w:val="both"/>
        <w:rPr>
          <w:rFonts w:ascii="Arial" w:eastAsia="Times New Roman" w:hAnsi="Arial" w:cs="Arial"/>
          <w:color w:val="000000" w:themeColor="text1"/>
          <w:szCs w:val="17"/>
          <w:lang w:eastAsia="pt-BR"/>
        </w:rPr>
      </w:pPr>
      <w:r w:rsidRPr="00E03C57">
        <w:rPr>
          <w:rFonts w:ascii="Arial" w:eastAsia="Times New Roman" w:hAnsi="Arial" w:cs="Arial"/>
          <w:color w:val="000000" w:themeColor="text1"/>
          <w:szCs w:val="17"/>
          <w:lang w:eastAsia="pt-BR"/>
        </w:rPr>
        <w:t xml:space="preserve">Acordam os Desembargadores que integram a 3ª Câmara Cível deste Egrégio Tribunal de Justiça, em Turma, à unanimidade de votos, em conhecer e rejeitar os Embargos de Declaração, nos termos do voto do Relator, parte integrante deste acórdão. </w:t>
      </w:r>
    </w:p>
    <w:p w:rsidR="00E03C57" w:rsidRDefault="00E03C57" w:rsidP="00E03C57">
      <w:pPr>
        <w:spacing w:after="0" w:line="240" w:lineRule="auto"/>
        <w:jc w:val="both"/>
        <w:rPr>
          <w:rFonts w:ascii="Arial" w:eastAsia="Times New Roman" w:hAnsi="Arial" w:cs="Arial"/>
          <w:color w:val="000000" w:themeColor="text1"/>
          <w:szCs w:val="17"/>
          <w:lang w:eastAsia="pt-BR"/>
        </w:rPr>
      </w:pPr>
    </w:p>
    <w:p w:rsidR="00E03C57" w:rsidRDefault="00E03C57" w:rsidP="00E03C57">
      <w:pPr>
        <w:spacing w:after="0" w:line="240" w:lineRule="auto"/>
        <w:jc w:val="both"/>
        <w:rPr>
          <w:rFonts w:ascii="Arial" w:eastAsia="Times New Roman" w:hAnsi="Arial" w:cs="Arial"/>
          <w:color w:val="000000" w:themeColor="text1"/>
          <w:szCs w:val="17"/>
          <w:lang w:eastAsia="pt-BR"/>
        </w:rPr>
      </w:pPr>
    </w:p>
    <w:p w:rsidR="00E03C57" w:rsidRDefault="00E03C57" w:rsidP="00E03C57">
      <w:pPr>
        <w:spacing w:after="0" w:line="240" w:lineRule="auto"/>
        <w:jc w:val="both"/>
        <w:rPr>
          <w:rFonts w:ascii="Arial" w:eastAsia="Times New Roman" w:hAnsi="Arial" w:cs="Arial"/>
          <w:color w:val="000000" w:themeColor="text1"/>
          <w:szCs w:val="17"/>
          <w:lang w:eastAsia="pt-BR"/>
        </w:rPr>
      </w:pPr>
    </w:p>
    <w:p w:rsidR="00E03C57" w:rsidRDefault="00E03C57" w:rsidP="00E03C57">
      <w:pPr>
        <w:spacing w:after="0" w:line="240" w:lineRule="auto"/>
        <w:jc w:val="both"/>
        <w:rPr>
          <w:rFonts w:ascii="Arial" w:eastAsia="Times New Roman" w:hAnsi="Arial" w:cs="Arial"/>
          <w:color w:val="000000" w:themeColor="text1"/>
          <w:szCs w:val="17"/>
          <w:lang w:eastAsia="pt-BR"/>
        </w:rPr>
      </w:pPr>
      <w:r w:rsidRPr="00E03C57">
        <w:rPr>
          <w:rFonts w:ascii="Arial" w:eastAsia="Times New Roman" w:hAnsi="Arial" w:cs="Arial"/>
          <w:color w:val="000000" w:themeColor="text1"/>
          <w:szCs w:val="17"/>
          <w:lang w:eastAsia="pt-BR"/>
        </w:rPr>
        <w:t xml:space="preserve">Neste sentido submetemos a pasta ao escritório </w:t>
      </w:r>
      <w:proofErr w:type="spellStart"/>
      <w:r w:rsidRPr="00E03C57">
        <w:rPr>
          <w:rFonts w:ascii="Arial" w:eastAsia="Times New Roman" w:hAnsi="Arial" w:cs="Arial"/>
          <w:color w:val="000000" w:themeColor="text1"/>
          <w:szCs w:val="17"/>
          <w:lang w:eastAsia="pt-BR"/>
        </w:rPr>
        <w:t>Bermudes</w:t>
      </w:r>
      <w:proofErr w:type="spellEnd"/>
      <w:r w:rsidRPr="00E03C57">
        <w:rPr>
          <w:rFonts w:ascii="Arial" w:eastAsia="Times New Roman" w:hAnsi="Arial" w:cs="Arial"/>
          <w:color w:val="000000" w:themeColor="text1"/>
          <w:szCs w:val="17"/>
          <w:lang w:eastAsia="pt-BR"/>
        </w:rPr>
        <w:t xml:space="preserve"> para interposição de </w:t>
      </w:r>
      <w:proofErr w:type="spellStart"/>
      <w:r w:rsidRPr="00E03C57">
        <w:rPr>
          <w:rFonts w:ascii="Arial" w:eastAsia="Times New Roman" w:hAnsi="Arial" w:cs="Arial"/>
          <w:color w:val="000000" w:themeColor="text1"/>
          <w:szCs w:val="17"/>
          <w:lang w:eastAsia="pt-BR"/>
        </w:rPr>
        <w:t>Resp</w:t>
      </w:r>
      <w:proofErr w:type="spellEnd"/>
      <w:r w:rsidRPr="00E03C57">
        <w:rPr>
          <w:rFonts w:ascii="Arial" w:eastAsia="Times New Roman" w:hAnsi="Arial" w:cs="Arial"/>
          <w:color w:val="000000" w:themeColor="text1"/>
          <w:szCs w:val="17"/>
          <w:lang w:eastAsia="pt-BR"/>
        </w:rPr>
        <w:t xml:space="preserve">, que entendeu por dispensar o recurso nos seguintes termos: “O v. acórdão está em consonância com atual entendimento do e. STJ, motivo pelo qual opinamos pela dispensa do recurso </w:t>
      </w:r>
      <w:proofErr w:type="gramStart"/>
      <w:r w:rsidRPr="00E03C57">
        <w:rPr>
          <w:rFonts w:ascii="Arial" w:eastAsia="Times New Roman" w:hAnsi="Arial" w:cs="Arial"/>
          <w:color w:val="000000" w:themeColor="text1"/>
          <w:szCs w:val="17"/>
          <w:lang w:eastAsia="pt-BR"/>
        </w:rPr>
        <w:t>especial.”</w:t>
      </w:r>
      <w:proofErr w:type="gramEnd"/>
      <w:r w:rsidRPr="00E03C57">
        <w:rPr>
          <w:rFonts w:ascii="Arial" w:eastAsia="Times New Roman" w:hAnsi="Arial" w:cs="Arial"/>
          <w:color w:val="000000" w:themeColor="text1"/>
          <w:szCs w:val="17"/>
          <w:lang w:eastAsia="pt-BR"/>
        </w:rPr>
        <w:t xml:space="preserve"> </w:t>
      </w:r>
    </w:p>
    <w:p w:rsidR="00E03C57" w:rsidRDefault="00E03C57" w:rsidP="00E03C57">
      <w:pPr>
        <w:spacing w:after="0" w:line="240" w:lineRule="auto"/>
        <w:jc w:val="both"/>
        <w:rPr>
          <w:rFonts w:ascii="Arial" w:eastAsia="Times New Roman" w:hAnsi="Arial" w:cs="Arial"/>
          <w:color w:val="000000" w:themeColor="text1"/>
          <w:szCs w:val="17"/>
          <w:lang w:eastAsia="pt-BR"/>
        </w:rPr>
      </w:pPr>
    </w:p>
    <w:p w:rsidR="00E03C57" w:rsidRDefault="00E03C57" w:rsidP="00E03C57">
      <w:pPr>
        <w:spacing w:after="0" w:line="240" w:lineRule="auto"/>
        <w:jc w:val="both"/>
        <w:rPr>
          <w:rFonts w:ascii="Arial" w:eastAsia="Times New Roman" w:hAnsi="Arial" w:cs="Arial"/>
          <w:color w:val="000000" w:themeColor="text1"/>
          <w:szCs w:val="17"/>
          <w:lang w:eastAsia="pt-BR"/>
        </w:rPr>
      </w:pPr>
    </w:p>
    <w:p w:rsidR="00E03C57" w:rsidRDefault="00E03C57" w:rsidP="00E03C57">
      <w:pPr>
        <w:spacing w:after="0" w:line="240" w:lineRule="auto"/>
        <w:jc w:val="both"/>
        <w:rPr>
          <w:rFonts w:ascii="Arial" w:eastAsia="Times New Roman" w:hAnsi="Arial" w:cs="Arial"/>
          <w:color w:val="000000" w:themeColor="text1"/>
          <w:szCs w:val="17"/>
          <w:lang w:eastAsia="pt-BR"/>
        </w:rPr>
      </w:pPr>
      <w:r w:rsidRPr="00E03C57">
        <w:rPr>
          <w:rFonts w:ascii="Arial" w:eastAsia="Times New Roman" w:hAnsi="Arial" w:cs="Arial"/>
          <w:color w:val="000000" w:themeColor="text1"/>
          <w:szCs w:val="17"/>
          <w:lang w:eastAsia="pt-BR"/>
        </w:rPr>
        <w:t xml:space="preserve">Assim, considerando se tratar de dupla correção monetária, entramos em contato com o </w:t>
      </w:r>
      <w:proofErr w:type="spellStart"/>
      <w:r w:rsidRPr="00E03C57">
        <w:rPr>
          <w:rFonts w:ascii="Arial" w:eastAsia="Times New Roman" w:hAnsi="Arial" w:cs="Arial"/>
          <w:color w:val="000000" w:themeColor="text1"/>
          <w:szCs w:val="17"/>
          <w:lang w:eastAsia="pt-BR"/>
        </w:rPr>
        <w:t>ex-adverso</w:t>
      </w:r>
      <w:proofErr w:type="spellEnd"/>
      <w:r w:rsidRPr="00E03C57">
        <w:rPr>
          <w:rFonts w:ascii="Arial" w:eastAsia="Times New Roman" w:hAnsi="Arial" w:cs="Arial"/>
          <w:color w:val="000000" w:themeColor="text1"/>
          <w:szCs w:val="17"/>
          <w:lang w:eastAsia="pt-BR"/>
        </w:rPr>
        <w:t xml:space="preserve"> que entendeu por aceitar a liquidação do julgado nos termos da sentença (R$14.641,40 acrescidos de correção monetária da data da sentença e juros da citação – sem honorários advocatícios), ou seja, dará uma petição de quitação no valor de R$ 46.977,68 (quarenta e sei mil novecentos e setenta e sete reais e sessenta e oito centavos). </w:t>
      </w:r>
    </w:p>
    <w:p w:rsidR="00E03C57" w:rsidRDefault="00E03C57" w:rsidP="00E03C57">
      <w:pPr>
        <w:spacing w:after="0" w:line="240" w:lineRule="auto"/>
        <w:jc w:val="both"/>
        <w:rPr>
          <w:rFonts w:ascii="Arial" w:eastAsia="Times New Roman" w:hAnsi="Arial" w:cs="Arial"/>
          <w:color w:val="000000" w:themeColor="text1"/>
          <w:szCs w:val="17"/>
          <w:lang w:eastAsia="pt-BR"/>
        </w:rPr>
      </w:pPr>
    </w:p>
    <w:p w:rsidR="006D4AB0" w:rsidRDefault="00E03C57" w:rsidP="00E03C57">
      <w:pPr>
        <w:spacing w:after="0" w:line="240" w:lineRule="auto"/>
        <w:jc w:val="both"/>
        <w:rPr>
          <w:rFonts w:ascii="Arial" w:eastAsia="Times New Roman" w:hAnsi="Arial" w:cs="Arial"/>
          <w:color w:val="000000" w:themeColor="text1"/>
          <w:szCs w:val="17"/>
          <w:lang w:eastAsia="pt-BR"/>
        </w:rPr>
      </w:pPr>
      <w:r>
        <w:rPr>
          <w:rFonts w:ascii="Arial" w:eastAsia="Times New Roman" w:hAnsi="Arial" w:cs="Arial"/>
          <w:color w:val="000000" w:themeColor="text1"/>
          <w:szCs w:val="17"/>
          <w:lang w:eastAsia="pt-BR"/>
        </w:rPr>
        <w:t>Neste sentido fomos orientado</w:t>
      </w:r>
      <w:r w:rsidR="006D4AB0">
        <w:rPr>
          <w:rFonts w:ascii="Arial" w:eastAsia="Times New Roman" w:hAnsi="Arial" w:cs="Arial"/>
          <w:color w:val="000000" w:themeColor="text1"/>
          <w:szCs w:val="17"/>
          <w:lang w:eastAsia="pt-BR"/>
        </w:rPr>
        <w:t>s</w:t>
      </w:r>
      <w:r>
        <w:rPr>
          <w:rFonts w:ascii="Arial" w:eastAsia="Times New Roman" w:hAnsi="Arial" w:cs="Arial"/>
          <w:color w:val="000000" w:themeColor="text1"/>
          <w:szCs w:val="17"/>
          <w:lang w:eastAsia="pt-BR"/>
        </w:rPr>
        <w:t xml:space="preserve"> pel</w:t>
      </w:r>
      <w:r w:rsidR="006D4AB0">
        <w:rPr>
          <w:rFonts w:ascii="Arial" w:eastAsia="Times New Roman" w:hAnsi="Arial" w:cs="Arial"/>
          <w:color w:val="000000" w:themeColor="text1"/>
          <w:szCs w:val="17"/>
          <w:lang w:eastAsia="pt-BR"/>
        </w:rPr>
        <w:t xml:space="preserve">a </w:t>
      </w:r>
      <w:r w:rsidR="006D4AB0" w:rsidRPr="006D4AB0">
        <w:rPr>
          <w:rFonts w:ascii="Arial" w:eastAsia="Times New Roman" w:hAnsi="Arial" w:cs="Arial"/>
          <w:color w:val="000000" w:themeColor="text1"/>
          <w:szCs w:val="17"/>
          <w:lang w:eastAsia="pt-BR"/>
        </w:rPr>
        <w:t>Gerência Jurídica do Contencioso</w:t>
      </w:r>
      <w:r>
        <w:rPr>
          <w:rFonts w:ascii="Arial" w:eastAsia="Times New Roman" w:hAnsi="Arial" w:cs="Arial"/>
          <w:color w:val="000000" w:themeColor="text1"/>
          <w:szCs w:val="17"/>
          <w:lang w:eastAsia="pt-BR"/>
        </w:rPr>
        <w:t xml:space="preserve"> </w:t>
      </w:r>
      <w:r w:rsidR="006D4AB0">
        <w:rPr>
          <w:rFonts w:ascii="Arial" w:eastAsia="Times New Roman" w:hAnsi="Arial" w:cs="Arial"/>
          <w:color w:val="000000" w:themeColor="text1"/>
          <w:szCs w:val="17"/>
          <w:lang w:eastAsia="pt-BR"/>
        </w:rPr>
        <w:t>a efetuar a liquidação do julgado em 20 salários mínimos da época do sinistro acrescidos de correção monetária daquela data e juros da citação.</w:t>
      </w:r>
    </w:p>
    <w:p w:rsidR="006D4AB0" w:rsidRDefault="006D4AB0" w:rsidP="00E03C57">
      <w:pPr>
        <w:spacing w:after="0" w:line="240" w:lineRule="auto"/>
        <w:jc w:val="both"/>
        <w:rPr>
          <w:rFonts w:ascii="Arial" w:eastAsia="Times New Roman" w:hAnsi="Arial" w:cs="Arial"/>
          <w:color w:val="000000" w:themeColor="text1"/>
          <w:szCs w:val="17"/>
          <w:lang w:eastAsia="pt-BR"/>
        </w:rPr>
      </w:pPr>
    </w:p>
    <w:p w:rsidR="00154333" w:rsidRPr="006D4AB0" w:rsidRDefault="006D4AB0" w:rsidP="006D4AB0">
      <w:pPr>
        <w:spacing w:after="0" w:line="240" w:lineRule="auto"/>
        <w:jc w:val="both"/>
        <w:rPr>
          <w:rFonts w:ascii="Arial" w:eastAsia="Times New Roman" w:hAnsi="Arial" w:cs="Arial"/>
          <w:color w:val="000000" w:themeColor="text1"/>
          <w:szCs w:val="17"/>
          <w:lang w:eastAsia="pt-BR"/>
        </w:rPr>
      </w:pPr>
      <w:r w:rsidRPr="006D4AB0">
        <w:rPr>
          <w:rFonts w:ascii="Arial" w:eastAsia="Times New Roman" w:hAnsi="Arial" w:cs="Arial"/>
          <w:color w:val="000000" w:themeColor="text1"/>
          <w:szCs w:val="17"/>
          <w:lang w:eastAsia="pt-BR"/>
        </w:rPr>
        <w:t xml:space="preserve">Ocorre que </w:t>
      </w:r>
      <w:bookmarkStart w:id="0" w:name="_GoBack"/>
      <w:bookmarkEnd w:id="0"/>
    </w:p>
    <w:sectPr w:rsidR="00154333" w:rsidRPr="006D4AB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C57"/>
    <w:rsid w:val="00154333"/>
    <w:rsid w:val="004B4ACA"/>
    <w:rsid w:val="006D4AB0"/>
    <w:rsid w:val="00E03C57"/>
    <w:rsid w:val="00FA39C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C6B34D-667C-4F95-8D2D-07CBE879E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6988717">
      <w:bodyDiv w:val="1"/>
      <w:marLeft w:val="0"/>
      <w:marRight w:val="0"/>
      <w:marTop w:val="0"/>
      <w:marBottom w:val="0"/>
      <w:divBdr>
        <w:top w:val="none" w:sz="0" w:space="0" w:color="auto"/>
        <w:left w:val="none" w:sz="0" w:space="0" w:color="auto"/>
        <w:bottom w:val="none" w:sz="0" w:space="0" w:color="auto"/>
        <w:right w:val="none" w:sz="0" w:space="0" w:color="auto"/>
      </w:divBdr>
    </w:div>
    <w:div w:id="2136899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661</Words>
  <Characters>3573</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Walter Araujo</dc:creator>
  <cp:keywords/>
  <dc:description/>
  <cp:lastModifiedBy>Walter Araujo</cp:lastModifiedBy>
  <cp:revision>1</cp:revision>
  <dcterms:created xsi:type="dcterms:W3CDTF">2019-08-30T15:49:00Z</dcterms:created>
  <dcterms:modified xsi:type="dcterms:W3CDTF">2019-08-30T16:04:00Z</dcterms:modified>
</cp:coreProperties>
</file>