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167AE7">
        <w:rPr>
          <w:rFonts w:ascii="Times New Roman" w:eastAsia="Times New Roman" w:hAnsi="Times New Roman" w:cs="Times New Roman"/>
          <w:sz w:val="27"/>
          <w:szCs w:val="27"/>
          <w:lang w:eastAsia="pt-BR"/>
        </w:rPr>
        <w:t>Protocolo :</w:t>
      </w:r>
      <w:proofErr w:type="gramEnd"/>
      <w:r w:rsidRPr="00167AE7">
        <w:rPr>
          <w:rFonts w:ascii="Times New Roman" w:eastAsia="Times New Roman" w:hAnsi="Times New Roman" w:cs="Times New Roman"/>
          <w:sz w:val="27"/>
          <w:szCs w:val="27"/>
          <w:lang w:eastAsia="pt-BR"/>
        </w:rPr>
        <w:t xml:space="preserve"> 200803502260</w:t>
      </w: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AE7">
        <w:rPr>
          <w:rFonts w:ascii="Times New Roman" w:eastAsia="Times New Roman" w:hAnsi="Times New Roman" w:cs="Times New Roman"/>
          <w:sz w:val="27"/>
          <w:szCs w:val="27"/>
          <w:lang w:eastAsia="pt-BR"/>
        </w:rPr>
        <w:t>Vistos, etc.</w:t>
      </w: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spellStart"/>
      <w:r w:rsidRPr="00167AE7">
        <w:rPr>
          <w:rFonts w:ascii="Times New Roman" w:eastAsia="Times New Roman" w:hAnsi="Times New Roman" w:cs="Times New Roman"/>
          <w:sz w:val="27"/>
          <w:szCs w:val="27"/>
          <w:lang w:eastAsia="pt-BR"/>
        </w:rPr>
        <w:t>Aristino</w:t>
      </w:r>
      <w:proofErr w:type="spellEnd"/>
      <w:r w:rsidRPr="00167AE7">
        <w:rPr>
          <w:rFonts w:ascii="Times New Roman" w:eastAsia="Times New Roman" w:hAnsi="Times New Roman" w:cs="Times New Roman"/>
          <w:sz w:val="27"/>
          <w:szCs w:val="27"/>
          <w:lang w:eastAsia="pt-BR"/>
        </w:rPr>
        <w:t xml:space="preserve"> Moreira da Silva, devidamente qualificado, propôs </w:t>
      </w:r>
      <w:r w:rsidRPr="00167AE7">
        <w:rPr>
          <w:rFonts w:ascii="Times New Roman" w:eastAsia="Times New Roman" w:hAnsi="Times New Roman" w:cs="Times New Roman"/>
          <w:b/>
          <w:bCs/>
          <w:i/>
          <w:iCs/>
          <w:sz w:val="27"/>
          <w:lang w:eastAsia="pt-BR"/>
        </w:rPr>
        <w:t>AÇÃO ORDINÁRIA DE COBRANÇA</w:t>
      </w:r>
      <w:r w:rsidRPr="00167AE7">
        <w:rPr>
          <w:rFonts w:ascii="Times New Roman" w:eastAsia="Times New Roman" w:hAnsi="Times New Roman" w:cs="Times New Roman"/>
          <w:sz w:val="27"/>
          <w:szCs w:val="27"/>
          <w:lang w:eastAsia="pt-BR"/>
        </w:rPr>
        <w:t>, em desfavor da Unibanco AIG Seguros S/A, também individuada.</w:t>
      </w: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AE7">
        <w:rPr>
          <w:rFonts w:ascii="Times New Roman" w:eastAsia="Times New Roman" w:hAnsi="Times New Roman" w:cs="Times New Roman"/>
          <w:sz w:val="24"/>
          <w:szCs w:val="24"/>
          <w:lang w:eastAsia="pt-BR"/>
        </w:rPr>
        <w:t>Diz que o Autor foi vítima de acidente de trânsito ocorrido em 03/11/2006, sendo que resultou em invalidez permanente, consoante demonstram os documentos em anexo e requer o recebimento do seguro obrigatório de invalidez permanente em seu percentual máximo, que é de 40 salários mínimos.</w:t>
      </w: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AE7">
        <w:rPr>
          <w:rFonts w:ascii="Times New Roman" w:eastAsia="Times New Roman" w:hAnsi="Times New Roman" w:cs="Times New Roman"/>
          <w:sz w:val="27"/>
          <w:szCs w:val="27"/>
          <w:lang w:eastAsia="pt-BR"/>
        </w:rPr>
        <w:t>Afirma que em razão do acidente houve limitação funcional para exercer atividade profissional, resultando invalidez permanente.</w:t>
      </w: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AE7">
        <w:rPr>
          <w:rFonts w:ascii="Times New Roman" w:eastAsia="Times New Roman" w:hAnsi="Times New Roman" w:cs="Times New Roman"/>
          <w:sz w:val="27"/>
          <w:szCs w:val="27"/>
          <w:lang w:eastAsia="pt-BR"/>
        </w:rPr>
        <w:t>Bate pelo pagamento integral do valor do seguro independentemente do grau de invalidez.</w:t>
      </w: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AE7">
        <w:rPr>
          <w:rFonts w:ascii="Times New Roman" w:eastAsia="Times New Roman" w:hAnsi="Times New Roman" w:cs="Times New Roman"/>
          <w:sz w:val="27"/>
          <w:szCs w:val="27"/>
          <w:lang w:eastAsia="pt-BR"/>
        </w:rPr>
        <w:t>Requer a procedência do pedido e a condenação da parte ré no pagamento de indenização no valor de 40 salários mínimos.</w:t>
      </w: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AE7">
        <w:rPr>
          <w:rFonts w:ascii="Times New Roman" w:eastAsia="Times New Roman" w:hAnsi="Times New Roman" w:cs="Times New Roman"/>
          <w:sz w:val="27"/>
          <w:szCs w:val="27"/>
          <w:lang w:eastAsia="pt-BR"/>
        </w:rPr>
        <w:t>Juntou com a inicial os documentos de fls. 12/19.</w:t>
      </w: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AE7">
        <w:rPr>
          <w:rFonts w:ascii="Times New Roman" w:eastAsia="Times New Roman" w:hAnsi="Times New Roman" w:cs="Times New Roman"/>
          <w:sz w:val="27"/>
          <w:szCs w:val="27"/>
          <w:lang w:eastAsia="pt-BR"/>
        </w:rPr>
        <w:t>Citada a parte ré apresentou defesa, às fls.22/34.</w:t>
      </w: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AE7">
        <w:rPr>
          <w:rFonts w:ascii="Times New Roman" w:eastAsia="Times New Roman" w:hAnsi="Times New Roman" w:cs="Times New Roman"/>
          <w:sz w:val="27"/>
          <w:szCs w:val="27"/>
          <w:lang w:eastAsia="pt-BR"/>
        </w:rPr>
        <w:lastRenderedPageBreak/>
        <w:t>Inclusão da Seguradora Líder dos Consórcios de Seguro DPVAT S/A no polo passivo da ação.</w:t>
      </w: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AE7">
        <w:rPr>
          <w:rFonts w:ascii="Times New Roman" w:eastAsia="Times New Roman" w:hAnsi="Times New Roman" w:cs="Times New Roman"/>
          <w:sz w:val="27"/>
          <w:szCs w:val="27"/>
          <w:lang w:eastAsia="pt-BR"/>
        </w:rPr>
        <w:t>Ausência de documento que comprove o acidente de trânsito e o nexo causal.</w:t>
      </w: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AE7">
        <w:rPr>
          <w:rFonts w:ascii="Times New Roman" w:eastAsia="Times New Roman" w:hAnsi="Times New Roman" w:cs="Times New Roman"/>
          <w:sz w:val="27"/>
          <w:szCs w:val="27"/>
          <w:lang w:eastAsia="pt-BR"/>
        </w:rPr>
        <w:t>Bate pela necessidade da prova pericial.</w:t>
      </w: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167AE7">
        <w:rPr>
          <w:rFonts w:ascii="Times New Roman" w:eastAsia="Times New Roman" w:hAnsi="Times New Roman" w:cs="Times New Roman"/>
          <w:sz w:val="27"/>
          <w:szCs w:val="27"/>
          <w:lang w:eastAsia="pt-BR"/>
        </w:rPr>
        <w:t>Tece comentários</w:t>
      </w:r>
      <w:proofErr w:type="gramEnd"/>
      <w:r w:rsidRPr="00167AE7">
        <w:rPr>
          <w:rFonts w:ascii="Times New Roman" w:eastAsia="Times New Roman" w:hAnsi="Times New Roman" w:cs="Times New Roman"/>
          <w:sz w:val="27"/>
          <w:szCs w:val="27"/>
          <w:lang w:eastAsia="pt-BR"/>
        </w:rPr>
        <w:t xml:space="preserve"> sobre o valor da indenização proporcionalmente ao grau de invalidez.</w:t>
      </w: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AE7">
        <w:rPr>
          <w:rFonts w:ascii="Times New Roman" w:eastAsia="Times New Roman" w:hAnsi="Times New Roman" w:cs="Times New Roman"/>
          <w:sz w:val="27"/>
          <w:szCs w:val="27"/>
          <w:lang w:eastAsia="pt-BR"/>
        </w:rPr>
        <w:t>Diz que a CNSP tem competência para regular a matéria, assim como manifesta pela desvinculação do valor da indenização do salário mínimo.</w:t>
      </w: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167AE7">
        <w:rPr>
          <w:rFonts w:ascii="Times New Roman" w:eastAsia="Times New Roman" w:hAnsi="Times New Roman" w:cs="Times New Roman"/>
          <w:sz w:val="27"/>
          <w:szCs w:val="27"/>
          <w:lang w:eastAsia="pt-BR"/>
        </w:rPr>
        <w:t>Discorre</w:t>
      </w:r>
      <w:proofErr w:type="gramEnd"/>
      <w:r w:rsidRPr="00167AE7">
        <w:rPr>
          <w:rFonts w:ascii="Times New Roman" w:eastAsia="Times New Roman" w:hAnsi="Times New Roman" w:cs="Times New Roman"/>
          <w:sz w:val="27"/>
          <w:szCs w:val="27"/>
          <w:lang w:eastAsia="pt-BR"/>
        </w:rPr>
        <w:t xml:space="preserve"> sobre correção monetária, juros e honorários advocatícios.</w:t>
      </w: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AE7">
        <w:rPr>
          <w:rFonts w:ascii="Times New Roman" w:eastAsia="Times New Roman" w:hAnsi="Times New Roman" w:cs="Times New Roman"/>
          <w:sz w:val="27"/>
          <w:szCs w:val="27"/>
          <w:lang w:eastAsia="pt-BR"/>
        </w:rPr>
        <w:t>Pede que a indenização seja fixada levando-se em conta o valor de R$ 13.500,00.</w:t>
      </w: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AE7">
        <w:rPr>
          <w:rFonts w:ascii="Times New Roman" w:eastAsia="Times New Roman" w:hAnsi="Times New Roman" w:cs="Times New Roman"/>
          <w:sz w:val="27"/>
          <w:szCs w:val="27"/>
          <w:lang w:eastAsia="pt-BR"/>
        </w:rPr>
        <w:t>Requer a improcedência ao pedido.</w:t>
      </w: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AE7">
        <w:rPr>
          <w:rFonts w:ascii="Times New Roman" w:eastAsia="Times New Roman" w:hAnsi="Times New Roman" w:cs="Times New Roman"/>
          <w:sz w:val="27"/>
          <w:szCs w:val="27"/>
          <w:lang w:eastAsia="pt-BR"/>
        </w:rPr>
        <w:t xml:space="preserve">Anexou </w:t>
      </w:r>
      <w:proofErr w:type="gramStart"/>
      <w:r w:rsidRPr="00167AE7">
        <w:rPr>
          <w:rFonts w:ascii="Times New Roman" w:eastAsia="Times New Roman" w:hAnsi="Times New Roman" w:cs="Times New Roman"/>
          <w:sz w:val="27"/>
          <w:szCs w:val="27"/>
          <w:lang w:eastAsia="pt-BR"/>
        </w:rPr>
        <w:t>a</w:t>
      </w:r>
      <w:proofErr w:type="gramEnd"/>
      <w:r w:rsidRPr="00167AE7">
        <w:rPr>
          <w:rFonts w:ascii="Times New Roman" w:eastAsia="Times New Roman" w:hAnsi="Times New Roman" w:cs="Times New Roman"/>
          <w:sz w:val="27"/>
          <w:szCs w:val="27"/>
          <w:lang w:eastAsia="pt-BR"/>
        </w:rPr>
        <w:t xml:space="preserve"> peça contestatória os documentos de fls.35/79.</w:t>
      </w: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AE7">
        <w:rPr>
          <w:rFonts w:ascii="Times New Roman" w:eastAsia="Times New Roman" w:hAnsi="Times New Roman" w:cs="Times New Roman"/>
          <w:sz w:val="27"/>
          <w:szCs w:val="27"/>
          <w:lang w:eastAsia="pt-BR"/>
        </w:rPr>
        <w:t>Tréplica, às fls. 80/86.</w:t>
      </w: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AE7">
        <w:rPr>
          <w:rFonts w:ascii="Times New Roman" w:eastAsia="Times New Roman" w:hAnsi="Times New Roman" w:cs="Times New Roman"/>
          <w:sz w:val="27"/>
          <w:szCs w:val="27"/>
          <w:lang w:eastAsia="pt-BR"/>
        </w:rPr>
        <w:t>Laudo pericial, às fls. 119.</w:t>
      </w: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AE7">
        <w:rPr>
          <w:rFonts w:ascii="Times New Roman" w:eastAsia="Times New Roman" w:hAnsi="Times New Roman" w:cs="Times New Roman"/>
          <w:sz w:val="27"/>
          <w:szCs w:val="27"/>
          <w:lang w:eastAsia="pt-BR"/>
        </w:rPr>
        <w:lastRenderedPageBreak/>
        <w:t>Audiência de conciliação, às fls. 129.</w:t>
      </w: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AE7">
        <w:rPr>
          <w:rFonts w:ascii="Times New Roman" w:eastAsia="Times New Roman" w:hAnsi="Times New Roman" w:cs="Times New Roman"/>
          <w:b/>
          <w:bCs/>
          <w:sz w:val="27"/>
          <w:lang w:eastAsia="pt-BR"/>
        </w:rPr>
        <w:t>É O RELATÓRIO.</w:t>
      </w: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AE7">
        <w:rPr>
          <w:rFonts w:ascii="Times New Roman" w:eastAsia="Times New Roman" w:hAnsi="Times New Roman" w:cs="Times New Roman"/>
          <w:b/>
          <w:bCs/>
          <w:sz w:val="27"/>
          <w:lang w:eastAsia="pt-BR"/>
        </w:rPr>
        <w:t>DECIDO.</w:t>
      </w: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AE7">
        <w:rPr>
          <w:rFonts w:ascii="Times New Roman" w:eastAsia="Times New Roman" w:hAnsi="Times New Roman" w:cs="Times New Roman"/>
          <w:sz w:val="27"/>
          <w:szCs w:val="27"/>
          <w:lang w:eastAsia="pt-BR"/>
        </w:rPr>
        <w:t>Passo diretamente ao julgamento antecipado da lide uma vez que a prova é documental e de direito e não se faz necessário a produção de prova em audiência.</w:t>
      </w: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AE7">
        <w:rPr>
          <w:rFonts w:ascii="Times New Roman" w:eastAsia="Times New Roman" w:hAnsi="Times New Roman" w:cs="Times New Roman"/>
          <w:sz w:val="27"/>
          <w:szCs w:val="27"/>
          <w:lang w:eastAsia="pt-BR"/>
        </w:rPr>
        <w:t xml:space="preserve">Defiro o pedido de inclusão da Seguradora Líder dos consórcios de Seguro DPVAT no polo passivo, da ação, uma vez que é a representante de </w:t>
      </w:r>
      <w:proofErr w:type="gramStart"/>
      <w:r w:rsidRPr="00167AE7">
        <w:rPr>
          <w:rFonts w:ascii="Times New Roman" w:eastAsia="Times New Roman" w:hAnsi="Times New Roman" w:cs="Times New Roman"/>
          <w:sz w:val="27"/>
          <w:szCs w:val="27"/>
          <w:lang w:eastAsia="pt-BR"/>
        </w:rPr>
        <w:t>todas as seguradoras participante</w:t>
      </w:r>
      <w:proofErr w:type="gramEnd"/>
      <w:r w:rsidRPr="00167AE7">
        <w:rPr>
          <w:rFonts w:ascii="Times New Roman" w:eastAsia="Times New Roman" w:hAnsi="Times New Roman" w:cs="Times New Roman"/>
          <w:sz w:val="27"/>
          <w:szCs w:val="27"/>
          <w:lang w:eastAsia="pt-BR"/>
        </w:rPr>
        <w:t xml:space="preserve"> do consórcio.</w:t>
      </w: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AE7">
        <w:rPr>
          <w:rFonts w:ascii="Times New Roman" w:eastAsia="Times New Roman" w:hAnsi="Times New Roman" w:cs="Times New Roman"/>
          <w:sz w:val="27"/>
          <w:szCs w:val="27"/>
          <w:lang w:eastAsia="pt-BR"/>
        </w:rPr>
        <w:t>Provado restou o acidente de trânsito, do qual o Autor foi vítima, conforme atestou o documento médico de fls. 16, o que foi confirmado pelo laudo pericial de fls. 119, que confirmou a lesão compatível com a descrita no boletim médico e ao tempo do acidente.</w:t>
      </w: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AE7">
        <w:rPr>
          <w:rFonts w:ascii="Times New Roman" w:eastAsia="Times New Roman" w:hAnsi="Times New Roman" w:cs="Times New Roman"/>
          <w:sz w:val="27"/>
          <w:szCs w:val="27"/>
          <w:lang w:eastAsia="pt-BR"/>
        </w:rPr>
        <w:t>No tocante a invalidez à parte ré diz que o pagamento deverá ser escalonado e obedece a uma tabela sendo que o valor a ser pago deverá ser proporcional ao percentual de invalidez.</w:t>
      </w: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AE7">
        <w:rPr>
          <w:rFonts w:ascii="Times New Roman" w:eastAsia="Times New Roman" w:hAnsi="Times New Roman" w:cs="Times New Roman"/>
          <w:sz w:val="27"/>
          <w:szCs w:val="27"/>
          <w:lang w:eastAsia="pt-BR"/>
        </w:rPr>
        <w:t>A invalidez restou cabalmente comprovada através do laudo pericial de fls.119.</w:t>
      </w: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AE7">
        <w:rPr>
          <w:rFonts w:ascii="Times New Roman" w:eastAsia="Times New Roman" w:hAnsi="Times New Roman" w:cs="Times New Roman"/>
          <w:sz w:val="26"/>
          <w:szCs w:val="26"/>
          <w:lang w:eastAsia="pt-BR"/>
        </w:rPr>
        <w:t>A</w:t>
      </w:r>
      <w:r w:rsidRPr="00167AE7">
        <w:rPr>
          <w:rFonts w:ascii="Times New Roman" w:eastAsia="Times New Roman" w:hAnsi="Times New Roman" w:cs="Times New Roman"/>
          <w:sz w:val="27"/>
          <w:szCs w:val="27"/>
          <w:lang w:eastAsia="pt-BR"/>
        </w:rPr>
        <w:t xml:space="preserve"> indenização deverá ser paga proporcionalmente ao grau de invalidez, uma vez que este é o entendimento consolidado na Jurisprudência do STJ, independentemente da época em que se deu o acidente, posto que a questão </w:t>
      </w:r>
      <w:proofErr w:type="gramStart"/>
      <w:r w:rsidRPr="00167AE7">
        <w:rPr>
          <w:rFonts w:ascii="Times New Roman" w:eastAsia="Times New Roman" w:hAnsi="Times New Roman" w:cs="Times New Roman"/>
          <w:sz w:val="27"/>
          <w:szCs w:val="27"/>
          <w:lang w:eastAsia="pt-BR"/>
        </w:rPr>
        <w:t>foi</w:t>
      </w:r>
      <w:proofErr w:type="gramEnd"/>
      <w:r w:rsidRPr="00167AE7">
        <w:rPr>
          <w:rFonts w:ascii="Times New Roman" w:eastAsia="Times New Roman" w:hAnsi="Times New Roman" w:cs="Times New Roman"/>
          <w:sz w:val="27"/>
          <w:szCs w:val="27"/>
          <w:lang w:eastAsia="pt-BR"/>
        </w:rPr>
        <w:t xml:space="preserve"> inclusive sumulada:</w:t>
      </w: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67AE7" w:rsidRPr="00167AE7" w:rsidRDefault="00167AE7" w:rsidP="00167AE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AE7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 xml:space="preserve">' </w:t>
      </w:r>
      <w:r w:rsidRPr="00167AE7">
        <w:rPr>
          <w:rFonts w:ascii="Arial" w:eastAsia="Times New Roman" w:hAnsi="Arial" w:cs="Arial"/>
          <w:sz w:val="27"/>
          <w:szCs w:val="27"/>
          <w:lang w:eastAsia="pt-BR"/>
        </w:rPr>
        <w:t>Súmula nº 474</w:t>
      </w:r>
    </w:p>
    <w:p w:rsidR="00167AE7" w:rsidRPr="00167AE7" w:rsidRDefault="00167AE7" w:rsidP="00167AE7">
      <w:pPr>
        <w:spacing w:before="100" w:beforeAutospacing="1" w:after="100" w:afterAutospacing="1" w:line="240" w:lineRule="auto"/>
        <w:ind w:left="216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AE7">
        <w:rPr>
          <w:rFonts w:ascii="Arial" w:eastAsia="Times New Roman" w:hAnsi="Arial" w:cs="Arial"/>
          <w:sz w:val="24"/>
          <w:szCs w:val="24"/>
          <w:lang w:eastAsia="pt-BR"/>
        </w:rPr>
        <w:t xml:space="preserve">A indenização do seguro DPVAT, em caso de invalidez parcial do beneficiário, será paga de forma proporcional ao grau da </w:t>
      </w:r>
      <w:proofErr w:type="gramStart"/>
      <w:r w:rsidRPr="00167AE7">
        <w:rPr>
          <w:rFonts w:ascii="Arial" w:eastAsia="Times New Roman" w:hAnsi="Arial" w:cs="Arial"/>
          <w:sz w:val="24"/>
          <w:szCs w:val="24"/>
          <w:lang w:eastAsia="pt-BR"/>
        </w:rPr>
        <w:t>invalidez.</w:t>
      </w:r>
      <w:proofErr w:type="gramEnd"/>
      <w:r w:rsidRPr="00167AE7">
        <w:rPr>
          <w:rFonts w:ascii="Arial" w:eastAsia="Times New Roman" w:hAnsi="Arial" w:cs="Arial"/>
          <w:sz w:val="24"/>
          <w:szCs w:val="24"/>
          <w:lang w:eastAsia="pt-BR"/>
        </w:rPr>
        <w:t>'</w:t>
      </w: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AE7">
        <w:rPr>
          <w:rFonts w:ascii="Times New Roman" w:eastAsia="Times New Roman" w:hAnsi="Times New Roman" w:cs="Times New Roman"/>
          <w:sz w:val="26"/>
          <w:szCs w:val="26"/>
          <w:lang w:eastAsia="pt-BR"/>
        </w:rPr>
        <w:t>No mesmo sentido o entendimento do Tribunal de Justiça do Estado de Goiás:</w:t>
      </w: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tbl>
      <w:tblPr>
        <w:tblW w:w="850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20"/>
        <w:gridCol w:w="135"/>
        <w:gridCol w:w="2550"/>
        <w:gridCol w:w="45"/>
        <w:gridCol w:w="1020"/>
        <w:gridCol w:w="75"/>
        <w:gridCol w:w="1710"/>
        <w:gridCol w:w="585"/>
        <w:gridCol w:w="1365"/>
      </w:tblGrid>
      <w:tr w:rsidR="00167AE7" w:rsidRPr="00167AE7" w:rsidTr="00167AE7">
        <w:trPr>
          <w:tblCellSpacing w:w="0" w:type="dxa"/>
        </w:trPr>
        <w:tc>
          <w:tcPr>
            <w:tcW w:w="1020" w:type="dxa"/>
            <w:vAlign w:val="center"/>
            <w:hideMark/>
          </w:tcPr>
          <w:p w:rsidR="00167AE7" w:rsidRPr="00167AE7" w:rsidRDefault="00167AE7" w:rsidP="00167A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67AE7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ORIGEM.</w:t>
            </w:r>
          </w:p>
        </w:tc>
        <w:tc>
          <w:tcPr>
            <w:tcW w:w="2730" w:type="dxa"/>
            <w:gridSpan w:val="3"/>
            <w:vAlign w:val="center"/>
            <w:hideMark/>
          </w:tcPr>
          <w:p w:rsidR="00167AE7" w:rsidRPr="00167AE7" w:rsidRDefault="00167AE7" w:rsidP="00167A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167AE7">
              <w:rPr>
                <w:rFonts w:ascii="Times New Roman" w:eastAsia="Times New Roman" w:hAnsi="Times New Roman" w:cs="Times New Roman"/>
                <w:lang w:eastAsia="pt-BR"/>
              </w:rPr>
              <w:t>4A</w:t>
            </w:r>
            <w:proofErr w:type="gramEnd"/>
            <w:r w:rsidRPr="00167AE7">
              <w:rPr>
                <w:rFonts w:ascii="Times New Roman" w:eastAsia="Times New Roman" w:hAnsi="Times New Roman" w:cs="Times New Roman"/>
                <w:lang w:eastAsia="pt-BR"/>
              </w:rPr>
              <w:t xml:space="preserve"> CAMARA CIVEL </w:t>
            </w:r>
          </w:p>
        </w:tc>
        <w:tc>
          <w:tcPr>
            <w:tcW w:w="1020" w:type="dxa"/>
            <w:vAlign w:val="center"/>
            <w:hideMark/>
          </w:tcPr>
          <w:p w:rsidR="00167AE7" w:rsidRPr="00167AE7" w:rsidRDefault="00167AE7" w:rsidP="00167A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67AE7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FONTE</w:t>
            </w:r>
            <w:proofErr w:type="gramStart"/>
            <w:r w:rsidRPr="00167AE7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..</w:t>
            </w:r>
            <w:proofErr w:type="gramEnd"/>
          </w:p>
        </w:tc>
        <w:tc>
          <w:tcPr>
            <w:tcW w:w="1785" w:type="dxa"/>
            <w:gridSpan w:val="2"/>
            <w:vAlign w:val="center"/>
            <w:hideMark/>
          </w:tcPr>
          <w:p w:rsidR="00167AE7" w:rsidRPr="00167AE7" w:rsidRDefault="00167AE7" w:rsidP="00167A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67AE7">
              <w:rPr>
                <w:rFonts w:ascii="Times New Roman" w:eastAsia="Times New Roman" w:hAnsi="Times New Roman" w:cs="Times New Roman"/>
                <w:lang w:eastAsia="pt-BR"/>
              </w:rPr>
              <w:t>DJ 1053 de 02/05/2012</w:t>
            </w:r>
          </w:p>
        </w:tc>
        <w:tc>
          <w:tcPr>
            <w:tcW w:w="1950" w:type="dxa"/>
            <w:gridSpan w:val="2"/>
            <w:vAlign w:val="center"/>
            <w:hideMark/>
          </w:tcPr>
          <w:p w:rsidR="00167AE7" w:rsidRPr="00167AE7" w:rsidRDefault="00167AE7" w:rsidP="00167AE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167AE7" w:rsidRPr="00167AE7" w:rsidTr="00167AE7">
        <w:trPr>
          <w:tblCellSpacing w:w="0" w:type="dxa"/>
        </w:trPr>
        <w:tc>
          <w:tcPr>
            <w:tcW w:w="1155" w:type="dxa"/>
            <w:gridSpan w:val="2"/>
            <w:vAlign w:val="center"/>
            <w:hideMark/>
          </w:tcPr>
          <w:p w:rsidR="00167AE7" w:rsidRPr="00167AE7" w:rsidRDefault="00167AE7" w:rsidP="00167A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67AE7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ACÓRDÃO</w:t>
            </w:r>
          </w:p>
        </w:tc>
        <w:tc>
          <w:tcPr>
            <w:tcW w:w="2550" w:type="dxa"/>
            <w:vAlign w:val="center"/>
            <w:hideMark/>
          </w:tcPr>
          <w:p w:rsidR="00167AE7" w:rsidRPr="00167AE7" w:rsidRDefault="00167AE7" w:rsidP="00167A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67AE7">
              <w:rPr>
                <w:rFonts w:ascii="Times New Roman" w:eastAsia="Times New Roman" w:hAnsi="Times New Roman" w:cs="Times New Roman"/>
                <w:lang w:eastAsia="pt-BR"/>
              </w:rPr>
              <w:t>12/04/2012</w:t>
            </w:r>
          </w:p>
        </w:tc>
        <w:tc>
          <w:tcPr>
            <w:tcW w:w="1140" w:type="dxa"/>
            <w:gridSpan w:val="3"/>
            <w:vAlign w:val="center"/>
            <w:hideMark/>
          </w:tcPr>
          <w:p w:rsidR="00167AE7" w:rsidRPr="00167AE7" w:rsidRDefault="00167AE7" w:rsidP="00167A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67AE7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LIVRO</w:t>
            </w:r>
            <w:proofErr w:type="gramStart"/>
            <w:r w:rsidRPr="00167AE7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.....</w:t>
            </w:r>
            <w:proofErr w:type="gramEnd"/>
          </w:p>
        </w:tc>
        <w:tc>
          <w:tcPr>
            <w:tcW w:w="2295" w:type="dxa"/>
            <w:gridSpan w:val="2"/>
            <w:vAlign w:val="center"/>
            <w:hideMark/>
          </w:tcPr>
          <w:p w:rsidR="00167AE7" w:rsidRPr="00167AE7" w:rsidRDefault="00167AE7" w:rsidP="00167A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67AE7">
              <w:rPr>
                <w:rFonts w:ascii="Times New Roman" w:eastAsia="Times New Roman" w:hAnsi="Times New Roman" w:cs="Times New Roman"/>
                <w:lang w:eastAsia="pt-BR"/>
              </w:rPr>
              <w:t>(S/R)</w:t>
            </w:r>
          </w:p>
        </w:tc>
        <w:tc>
          <w:tcPr>
            <w:tcW w:w="1350" w:type="dxa"/>
            <w:vAlign w:val="center"/>
            <w:hideMark/>
          </w:tcPr>
          <w:p w:rsidR="00167AE7" w:rsidRPr="00167AE7" w:rsidRDefault="00167AE7" w:rsidP="00167A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167AE7" w:rsidRPr="00167AE7" w:rsidTr="00167AE7">
        <w:trPr>
          <w:tblCellSpacing w:w="0" w:type="dxa"/>
        </w:trPr>
        <w:tc>
          <w:tcPr>
            <w:tcW w:w="1155" w:type="dxa"/>
            <w:gridSpan w:val="2"/>
            <w:vAlign w:val="center"/>
            <w:hideMark/>
          </w:tcPr>
          <w:p w:rsidR="00167AE7" w:rsidRPr="00167AE7" w:rsidRDefault="00167AE7" w:rsidP="00167A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67AE7">
              <w:rPr>
                <w:rFonts w:ascii="Times New Roman" w:eastAsia="Times New Roman" w:hAnsi="Times New Roman" w:cs="Times New Roman"/>
                <w:b/>
                <w:bCs/>
                <w:sz w:val="20"/>
                <w:lang w:eastAsia="pt-BR"/>
              </w:rPr>
              <w:t>PROCESSO</w:t>
            </w:r>
          </w:p>
        </w:tc>
        <w:tc>
          <w:tcPr>
            <w:tcW w:w="2550" w:type="dxa"/>
            <w:vAlign w:val="center"/>
            <w:hideMark/>
          </w:tcPr>
          <w:p w:rsidR="00167AE7" w:rsidRPr="00167AE7" w:rsidRDefault="00167AE7" w:rsidP="00167A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67AE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200894216406</w:t>
            </w:r>
          </w:p>
        </w:tc>
        <w:tc>
          <w:tcPr>
            <w:tcW w:w="1140" w:type="dxa"/>
            <w:gridSpan w:val="3"/>
            <w:vAlign w:val="center"/>
            <w:hideMark/>
          </w:tcPr>
          <w:p w:rsidR="00167AE7" w:rsidRPr="00167AE7" w:rsidRDefault="00167AE7" w:rsidP="00167A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67AE7">
              <w:rPr>
                <w:rFonts w:ascii="Times New Roman" w:eastAsia="Times New Roman" w:hAnsi="Times New Roman" w:cs="Times New Roman"/>
                <w:b/>
                <w:bCs/>
                <w:sz w:val="20"/>
                <w:lang w:eastAsia="pt-BR"/>
              </w:rPr>
              <w:t>COMARCA</w:t>
            </w:r>
          </w:p>
        </w:tc>
        <w:tc>
          <w:tcPr>
            <w:tcW w:w="2295" w:type="dxa"/>
            <w:gridSpan w:val="2"/>
            <w:vAlign w:val="center"/>
            <w:hideMark/>
          </w:tcPr>
          <w:p w:rsidR="00167AE7" w:rsidRPr="00167AE7" w:rsidRDefault="00167AE7" w:rsidP="00167A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67AE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TRINDADE </w:t>
            </w:r>
          </w:p>
        </w:tc>
        <w:tc>
          <w:tcPr>
            <w:tcW w:w="1350" w:type="dxa"/>
            <w:vAlign w:val="center"/>
            <w:hideMark/>
          </w:tcPr>
          <w:p w:rsidR="00167AE7" w:rsidRPr="00167AE7" w:rsidRDefault="00167AE7" w:rsidP="00167AE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tbl>
      <w:tblPr>
        <w:tblW w:w="852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65"/>
        <w:gridCol w:w="735"/>
        <w:gridCol w:w="6720"/>
      </w:tblGrid>
      <w:tr w:rsidR="00167AE7" w:rsidRPr="00167AE7" w:rsidTr="00167AE7">
        <w:trPr>
          <w:tblCellSpacing w:w="0" w:type="dxa"/>
        </w:trPr>
        <w:tc>
          <w:tcPr>
            <w:tcW w:w="1065" w:type="dxa"/>
            <w:vAlign w:val="center"/>
            <w:hideMark/>
          </w:tcPr>
          <w:p w:rsidR="00167AE7" w:rsidRPr="00167AE7" w:rsidRDefault="00167AE7" w:rsidP="00167A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67AE7">
              <w:rPr>
                <w:rFonts w:ascii="Times New Roman" w:eastAsia="Times New Roman" w:hAnsi="Times New Roman" w:cs="Times New Roman"/>
                <w:b/>
                <w:bCs/>
                <w:sz w:val="20"/>
                <w:lang w:eastAsia="pt-BR"/>
              </w:rPr>
              <w:t>RELATOR</w:t>
            </w:r>
          </w:p>
        </w:tc>
        <w:tc>
          <w:tcPr>
            <w:tcW w:w="7455" w:type="dxa"/>
            <w:gridSpan w:val="2"/>
            <w:vAlign w:val="center"/>
            <w:hideMark/>
          </w:tcPr>
          <w:p w:rsidR="00167AE7" w:rsidRPr="00167AE7" w:rsidRDefault="00167AE7" w:rsidP="00167A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67AE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DES. GILBERTO MARQUES FILHO </w:t>
            </w:r>
          </w:p>
        </w:tc>
      </w:tr>
      <w:tr w:rsidR="00167AE7" w:rsidRPr="00167AE7" w:rsidTr="00167AE7">
        <w:trPr>
          <w:tblCellSpacing w:w="0" w:type="dxa"/>
        </w:trPr>
        <w:tc>
          <w:tcPr>
            <w:tcW w:w="1800" w:type="dxa"/>
            <w:gridSpan w:val="2"/>
            <w:vAlign w:val="center"/>
            <w:hideMark/>
          </w:tcPr>
          <w:p w:rsidR="00167AE7" w:rsidRPr="00167AE7" w:rsidRDefault="00167AE7" w:rsidP="00167A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67AE7">
              <w:rPr>
                <w:rFonts w:ascii="Times New Roman" w:eastAsia="Times New Roman" w:hAnsi="Times New Roman" w:cs="Times New Roman"/>
                <w:b/>
                <w:bCs/>
                <w:sz w:val="20"/>
                <w:lang w:eastAsia="pt-BR"/>
              </w:rPr>
              <w:t xml:space="preserve">PROC./REC...: </w:t>
            </w:r>
          </w:p>
        </w:tc>
        <w:tc>
          <w:tcPr>
            <w:tcW w:w="6720" w:type="dxa"/>
            <w:vAlign w:val="center"/>
            <w:hideMark/>
          </w:tcPr>
          <w:p w:rsidR="00167AE7" w:rsidRPr="00167AE7" w:rsidRDefault="00167AE7" w:rsidP="00167A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67AE7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421640-31.2008.8.09.0149 - APELACAO CIVEL </w:t>
            </w:r>
          </w:p>
        </w:tc>
      </w:tr>
      <w:tr w:rsidR="00167AE7" w:rsidRPr="00167AE7" w:rsidTr="00167AE7">
        <w:trPr>
          <w:tblCellSpacing w:w="0" w:type="dxa"/>
        </w:trPr>
        <w:tc>
          <w:tcPr>
            <w:tcW w:w="1800" w:type="dxa"/>
            <w:gridSpan w:val="2"/>
            <w:hideMark/>
          </w:tcPr>
          <w:p w:rsidR="00167AE7" w:rsidRPr="00167AE7" w:rsidRDefault="00167AE7" w:rsidP="00167A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67AE7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EMENTA</w:t>
            </w:r>
            <w:proofErr w:type="gramStart"/>
            <w:r w:rsidRPr="00167AE7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..</w:t>
            </w:r>
            <w:proofErr w:type="gramEnd"/>
          </w:p>
        </w:tc>
        <w:tc>
          <w:tcPr>
            <w:tcW w:w="6720" w:type="dxa"/>
            <w:vAlign w:val="center"/>
            <w:hideMark/>
          </w:tcPr>
          <w:p w:rsidR="00167AE7" w:rsidRPr="00167AE7" w:rsidRDefault="00167AE7" w:rsidP="00167A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67AE7">
              <w:rPr>
                <w:rFonts w:ascii="Times New Roman" w:eastAsia="Times New Roman" w:hAnsi="Times New Roman" w:cs="Times New Roman"/>
                <w:lang w:eastAsia="pt-BR"/>
              </w:rPr>
              <w:t xml:space="preserve">AGRAVO REGIMENTAL NA APELAÇÃO CÍVEL. SEGUIMENTO NEGADO. AÇÃO DE COBRANÇA. SEGURO OBRIGATÓRIO </w:t>
            </w:r>
            <w:r w:rsidRPr="00167AE7">
              <w:rPr>
                <w:rFonts w:ascii="Times New Roman" w:eastAsia="Times New Roman" w:hAnsi="Times New Roman" w:cs="Times New Roman"/>
                <w:color w:val="FFFFFF"/>
                <w:shd w:val="clear" w:color="auto" w:fill="008000"/>
                <w:lang w:eastAsia="pt-BR"/>
              </w:rPr>
              <w:t>DPVAT</w:t>
            </w:r>
            <w:r w:rsidRPr="00167AE7">
              <w:rPr>
                <w:rFonts w:ascii="Times New Roman" w:eastAsia="Times New Roman" w:hAnsi="Times New Roman" w:cs="Times New Roman"/>
                <w:lang w:eastAsia="pt-BR"/>
              </w:rPr>
              <w:t xml:space="preserve">. </w:t>
            </w:r>
            <w:proofErr w:type="gramStart"/>
            <w:r w:rsidRPr="00167AE7">
              <w:rPr>
                <w:rFonts w:ascii="Times New Roman" w:eastAsia="Times New Roman" w:hAnsi="Times New Roman" w:cs="Times New Roman"/>
                <w:lang w:eastAsia="pt-BR"/>
              </w:rPr>
              <w:t>ILEGITIMIDADE PASSIVA AD CAUSAM</w:t>
            </w:r>
            <w:proofErr w:type="gramEnd"/>
            <w:r w:rsidRPr="00167AE7">
              <w:rPr>
                <w:rFonts w:ascii="Times New Roman" w:eastAsia="Times New Roman" w:hAnsi="Times New Roman" w:cs="Times New Roman"/>
                <w:lang w:eastAsia="pt-BR"/>
              </w:rPr>
              <w:t xml:space="preserve">. AFASTADA. PRESCRIÇÃO. NÃO OCORRÊNCIA. </w:t>
            </w:r>
            <w:r w:rsidRPr="00167AE7">
              <w:rPr>
                <w:rFonts w:ascii="Times New Roman" w:eastAsia="Times New Roman" w:hAnsi="Times New Roman" w:cs="Times New Roman"/>
                <w:color w:val="FFFFFF"/>
                <w:shd w:val="clear" w:color="auto" w:fill="008000"/>
                <w:lang w:eastAsia="pt-BR"/>
              </w:rPr>
              <w:t>INVALIDEZPARCIAL</w:t>
            </w:r>
            <w:r w:rsidRPr="00167AE7">
              <w:rPr>
                <w:rFonts w:ascii="Times New Roman" w:eastAsia="Times New Roman" w:hAnsi="Times New Roman" w:cs="Times New Roman"/>
                <w:lang w:eastAsia="pt-BR"/>
              </w:rPr>
              <w:t xml:space="preserve">PERMANENTE. GRAU DE </w:t>
            </w:r>
            <w:r w:rsidRPr="00167AE7">
              <w:rPr>
                <w:rFonts w:ascii="Times New Roman" w:eastAsia="Times New Roman" w:hAnsi="Times New Roman" w:cs="Times New Roman"/>
                <w:color w:val="FFFFFF"/>
                <w:shd w:val="clear" w:color="auto" w:fill="008000"/>
                <w:lang w:eastAsia="pt-BR"/>
              </w:rPr>
              <w:t>INVALIDEZ</w:t>
            </w:r>
            <w:r w:rsidRPr="00167AE7">
              <w:rPr>
                <w:rFonts w:ascii="Times New Roman" w:eastAsia="Times New Roman" w:hAnsi="Times New Roman" w:cs="Times New Roman"/>
                <w:lang w:eastAsia="pt-BR"/>
              </w:rPr>
              <w:t xml:space="preserve">. LIMITE DO QUANTUM INDENIZATÓRIO. MP Nº 451/2008. MANUTENÇÃO EM PARTE DO DECISUM. PREQUESTIONAMENTO. 1 - Não há se falar em ilegitimidade da seguradora pela ausência de demonstração de vínculo securitário entre ela e a beneficiária, porquanto a Lei n. 6.194/74 não exige a demonstração do bilhete do seguro como requisito à concessão da indenização pelo seguro </w:t>
            </w:r>
            <w:r w:rsidRPr="00167AE7">
              <w:rPr>
                <w:rFonts w:ascii="Times New Roman" w:eastAsia="Times New Roman" w:hAnsi="Times New Roman" w:cs="Times New Roman"/>
                <w:color w:val="FFFFFF"/>
                <w:shd w:val="clear" w:color="auto" w:fill="008000"/>
                <w:lang w:eastAsia="pt-BR"/>
              </w:rPr>
              <w:t>DPVAT</w:t>
            </w:r>
            <w:r w:rsidRPr="00167AE7">
              <w:rPr>
                <w:rFonts w:ascii="Times New Roman" w:eastAsia="Times New Roman" w:hAnsi="Times New Roman" w:cs="Times New Roman"/>
                <w:lang w:eastAsia="pt-BR"/>
              </w:rPr>
              <w:t xml:space="preserve">. Referida lei tampouco </w:t>
            </w:r>
            <w:proofErr w:type="gramStart"/>
            <w:r w:rsidRPr="00167AE7">
              <w:rPr>
                <w:rFonts w:ascii="Times New Roman" w:eastAsia="Times New Roman" w:hAnsi="Times New Roman" w:cs="Times New Roman"/>
                <w:lang w:eastAsia="pt-BR"/>
              </w:rPr>
              <w:t>exclui</w:t>
            </w:r>
            <w:proofErr w:type="gramEnd"/>
            <w:r w:rsidRPr="00167AE7">
              <w:rPr>
                <w:rFonts w:ascii="Times New Roman" w:eastAsia="Times New Roman" w:hAnsi="Times New Roman" w:cs="Times New Roman"/>
                <w:lang w:eastAsia="pt-BR"/>
              </w:rPr>
              <w:t xml:space="preserve"> de sua proteção as categorias de ônibus e micro-ônibus; logo, não é cabível que norma hierarquicamente inferior (resolução) o faça. 2 - Milita em favor da agravada a presunção de que somente teve ciência de sua incapacidade no momento em que passou pela avaliação médica ora mencionada, ou seja, em /08/2008; </w:t>
            </w:r>
            <w:proofErr w:type="spellStart"/>
            <w:proofErr w:type="gramStart"/>
            <w:r w:rsidRPr="00167AE7">
              <w:rPr>
                <w:rFonts w:ascii="Times New Roman" w:eastAsia="Times New Roman" w:hAnsi="Times New Roman" w:cs="Times New Roman"/>
                <w:lang w:eastAsia="pt-BR"/>
              </w:rPr>
              <w:t>DAí</w:t>
            </w:r>
            <w:proofErr w:type="spellEnd"/>
            <w:proofErr w:type="gramEnd"/>
            <w:r w:rsidRPr="00167AE7">
              <w:rPr>
                <w:rFonts w:ascii="Times New Roman" w:eastAsia="Times New Roman" w:hAnsi="Times New Roman" w:cs="Times New Roman"/>
                <w:lang w:eastAsia="pt-BR"/>
              </w:rPr>
              <w:t xml:space="preserve"> PORQUE, SEM SOMBRA DE </w:t>
            </w:r>
            <w:proofErr w:type="spellStart"/>
            <w:r w:rsidRPr="00167AE7">
              <w:rPr>
                <w:rFonts w:ascii="Times New Roman" w:eastAsia="Times New Roman" w:hAnsi="Times New Roman" w:cs="Times New Roman"/>
                <w:lang w:eastAsia="pt-BR"/>
              </w:rPr>
              <w:t>DúVIDA</w:t>
            </w:r>
            <w:proofErr w:type="spellEnd"/>
            <w:r w:rsidRPr="00167AE7">
              <w:rPr>
                <w:rFonts w:ascii="Times New Roman" w:eastAsia="Times New Roman" w:hAnsi="Times New Roman" w:cs="Times New Roman"/>
                <w:lang w:eastAsia="pt-BR"/>
              </w:rPr>
              <w:t xml:space="preserve">, </w:t>
            </w:r>
            <w:proofErr w:type="spellStart"/>
            <w:r w:rsidRPr="00167AE7">
              <w:rPr>
                <w:rFonts w:ascii="Times New Roman" w:eastAsia="Times New Roman" w:hAnsi="Times New Roman" w:cs="Times New Roman"/>
                <w:lang w:eastAsia="pt-BR"/>
              </w:rPr>
              <w:t>NãO</w:t>
            </w:r>
            <w:proofErr w:type="spellEnd"/>
            <w:r w:rsidRPr="00167AE7">
              <w:rPr>
                <w:rFonts w:ascii="Times New Roman" w:eastAsia="Times New Roman" w:hAnsi="Times New Roman" w:cs="Times New Roman"/>
                <w:lang w:eastAsia="pt-BR"/>
              </w:rPr>
              <w:t xml:space="preserve"> ocorreu a prescrição da pretensão formulada em juízo. 3 - Nos casos de sequelas ocorridas em virtude de sinistros de trânsito, mesmo antes da vigência da Medida Provisória nº 451/2008, deve-se aplicar a proporcionalidade para fins de cálculo de valores a serem pagos a título de seguro obrigatório, situação em que vigorará a tabela do CNSP. Precedentes do colendo STJ e desta egrégia Corte estadual. 4 - No que se refere ao </w:t>
            </w:r>
            <w:proofErr w:type="spellStart"/>
            <w:r w:rsidRPr="00167AE7">
              <w:rPr>
                <w:rFonts w:ascii="Times New Roman" w:eastAsia="Times New Roman" w:hAnsi="Times New Roman" w:cs="Times New Roman"/>
                <w:lang w:eastAsia="pt-BR"/>
              </w:rPr>
              <w:t>prequestionamento</w:t>
            </w:r>
            <w:proofErr w:type="spellEnd"/>
            <w:r w:rsidRPr="00167AE7">
              <w:rPr>
                <w:rFonts w:ascii="Times New Roman" w:eastAsia="Times New Roman" w:hAnsi="Times New Roman" w:cs="Times New Roman"/>
                <w:lang w:eastAsia="pt-BR"/>
              </w:rPr>
              <w:t xml:space="preserve">, </w:t>
            </w:r>
            <w:proofErr w:type="gramStart"/>
            <w:r w:rsidRPr="00167AE7">
              <w:rPr>
                <w:rFonts w:ascii="Times New Roman" w:eastAsia="Times New Roman" w:hAnsi="Times New Roman" w:cs="Times New Roman"/>
                <w:lang w:eastAsia="pt-BR"/>
              </w:rPr>
              <w:t>mister</w:t>
            </w:r>
            <w:proofErr w:type="gramEnd"/>
            <w:r w:rsidRPr="00167AE7">
              <w:rPr>
                <w:rFonts w:ascii="Times New Roman" w:eastAsia="Times New Roman" w:hAnsi="Times New Roman" w:cs="Times New Roman"/>
                <w:lang w:eastAsia="pt-BR"/>
              </w:rPr>
              <w:t xml:space="preserve"> ressaltar que dentre as funções do Poder Judiciário não está a de órgão meramente consultivo, somente devendo dispor sobre determinado comando legal quando este se apresente necessário ao deslinde da causa. Agravo Regimental conhecido e </w:t>
            </w:r>
            <w:r w:rsidRPr="00167AE7">
              <w:rPr>
                <w:rFonts w:ascii="Times New Roman" w:eastAsia="Times New Roman" w:hAnsi="Times New Roman" w:cs="Times New Roman"/>
                <w:color w:val="FFFFFF"/>
                <w:shd w:val="clear" w:color="auto" w:fill="008000"/>
                <w:lang w:eastAsia="pt-BR"/>
              </w:rPr>
              <w:t>parcial</w:t>
            </w:r>
            <w:r w:rsidRPr="00167AE7">
              <w:rPr>
                <w:rFonts w:ascii="Times New Roman" w:eastAsia="Times New Roman" w:hAnsi="Times New Roman" w:cs="Times New Roman"/>
                <w:lang w:eastAsia="pt-BR"/>
              </w:rPr>
              <w:t xml:space="preserve">mente provido. </w:t>
            </w:r>
          </w:p>
        </w:tc>
      </w:tr>
    </w:tbl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AE7">
        <w:rPr>
          <w:rFonts w:ascii="Times New Roman" w:eastAsia="Times New Roman" w:hAnsi="Times New Roman" w:cs="Times New Roman"/>
          <w:sz w:val="27"/>
          <w:szCs w:val="27"/>
          <w:lang w:eastAsia="pt-BR"/>
        </w:rPr>
        <w:lastRenderedPageBreak/>
        <w:t>A alínea 'b', do artigo 3º, da Lei nº 6.194/74 dispõe que à indenização em caso de invalidez deverá ser de até 40 salários mínimos.</w:t>
      </w: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AE7">
        <w:rPr>
          <w:rFonts w:ascii="Times New Roman" w:eastAsia="Times New Roman" w:hAnsi="Times New Roman" w:cs="Times New Roman"/>
          <w:sz w:val="27"/>
          <w:szCs w:val="27"/>
          <w:lang w:eastAsia="pt-BR"/>
        </w:rPr>
        <w:t xml:space="preserve">Não há como aplicar o valor de R$ 13.500,00, como quer a parte ré, uma vez que o acidente ocorreu antes da entrada em vigor da MP </w:t>
      </w:r>
      <w:r w:rsidRPr="00167AE7">
        <w:rPr>
          <w:rFonts w:ascii="Times New Roman" w:eastAsia="Times New Roman" w:hAnsi="Times New Roman" w:cs="Times New Roman"/>
          <w:sz w:val="26"/>
          <w:szCs w:val="26"/>
          <w:lang w:eastAsia="pt-BR"/>
        </w:rPr>
        <w:t>nº 340 de 08/12/2006, que foi convertida na lei nº 11.482/2007.</w:t>
      </w: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AE7">
        <w:rPr>
          <w:rFonts w:ascii="Times New Roman" w:eastAsia="Times New Roman" w:hAnsi="Times New Roman" w:cs="Times New Roman"/>
          <w:sz w:val="26"/>
          <w:szCs w:val="26"/>
          <w:lang w:eastAsia="pt-BR"/>
        </w:rPr>
        <w:t>Neste sentido a jurisprudência:</w:t>
      </w: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tbl>
      <w:tblPr>
        <w:tblW w:w="850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207"/>
        <w:gridCol w:w="210"/>
        <w:gridCol w:w="2331"/>
        <w:gridCol w:w="43"/>
        <w:gridCol w:w="1274"/>
        <w:gridCol w:w="142"/>
        <w:gridCol w:w="2128"/>
        <w:gridCol w:w="417"/>
        <w:gridCol w:w="753"/>
      </w:tblGrid>
      <w:tr w:rsidR="00167AE7" w:rsidRPr="00167AE7" w:rsidTr="00167AE7">
        <w:trPr>
          <w:tblCellSpacing w:w="0" w:type="dxa"/>
        </w:trPr>
        <w:tc>
          <w:tcPr>
            <w:tcW w:w="1020" w:type="dxa"/>
            <w:vAlign w:val="center"/>
            <w:hideMark/>
          </w:tcPr>
          <w:p w:rsidR="00167AE7" w:rsidRPr="00167AE7" w:rsidRDefault="00167AE7" w:rsidP="00167A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67A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ORIGEM...</w:t>
            </w:r>
          </w:p>
        </w:tc>
        <w:tc>
          <w:tcPr>
            <w:tcW w:w="2730" w:type="dxa"/>
            <w:gridSpan w:val="3"/>
            <w:vAlign w:val="center"/>
            <w:hideMark/>
          </w:tcPr>
          <w:p w:rsidR="00167AE7" w:rsidRPr="00167AE7" w:rsidRDefault="00167AE7" w:rsidP="00167A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4A</w:t>
            </w:r>
            <w:proofErr w:type="gramEnd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CAMARA CIVEL </w:t>
            </w:r>
          </w:p>
        </w:tc>
        <w:tc>
          <w:tcPr>
            <w:tcW w:w="1020" w:type="dxa"/>
            <w:vAlign w:val="center"/>
            <w:hideMark/>
          </w:tcPr>
          <w:p w:rsidR="00167AE7" w:rsidRPr="00167AE7" w:rsidRDefault="00167AE7" w:rsidP="00167A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67A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FONTE</w:t>
            </w:r>
            <w:proofErr w:type="gramStart"/>
            <w:r w:rsidRPr="00167A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......</w:t>
            </w:r>
            <w:proofErr w:type="gramEnd"/>
          </w:p>
        </w:tc>
        <w:tc>
          <w:tcPr>
            <w:tcW w:w="2880" w:type="dxa"/>
            <w:gridSpan w:val="3"/>
            <w:vAlign w:val="center"/>
            <w:hideMark/>
          </w:tcPr>
          <w:p w:rsidR="00167AE7" w:rsidRPr="00167AE7" w:rsidRDefault="00167AE7" w:rsidP="00167A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DJ 1084 de 19/06/2012</w:t>
            </w:r>
          </w:p>
        </w:tc>
        <w:tc>
          <w:tcPr>
            <w:tcW w:w="870" w:type="dxa"/>
            <w:vAlign w:val="center"/>
            <w:hideMark/>
          </w:tcPr>
          <w:p w:rsidR="00167AE7" w:rsidRPr="00167AE7" w:rsidRDefault="00167AE7" w:rsidP="00167AE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167AE7" w:rsidRPr="00167AE7" w:rsidTr="00167AE7">
        <w:trPr>
          <w:tblCellSpacing w:w="0" w:type="dxa"/>
        </w:trPr>
        <w:tc>
          <w:tcPr>
            <w:tcW w:w="1230" w:type="dxa"/>
            <w:gridSpan w:val="2"/>
            <w:vAlign w:val="center"/>
            <w:hideMark/>
          </w:tcPr>
          <w:p w:rsidR="00167AE7" w:rsidRPr="00167AE7" w:rsidRDefault="00167AE7" w:rsidP="00167A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67A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ACÓRDÃO...</w:t>
            </w:r>
          </w:p>
        </w:tc>
        <w:tc>
          <w:tcPr>
            <w:tcW w:w="2475" w:type="dxa"/>
            <w:vAlign w:val="center"/>
            <w:hideMark/>
          </w:tcPr>
          <w:p w:rsidR="00167AE7" w:rsidRPr="00167AE7" w:rsidRDefault="00167AE7" w:rsidP="00167A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17/05/2012</w:t>
            </w:r>
          </w:p>
        </w:tc>
        <w:tc>
          <w:tcPr>
            <w:tcW w:w="1215" w:type="dxa"/>
            <w:gridSpan w:val="3"/>
            <w:vAlign w:val="center"/>
            <w:hideMark/>
          </w:tcPr>
          <w:p w:rsidR="00167AE7" w:rsidRPr="00167AE7" w:rsidRDefault="00167AE7" w:rsidP="00167A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67A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LIVRO</w:t>
            </w:r>
            <w:proofErr w:type="gramStart"/>
            <w:r w:rsidRPr="00167A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......</w:t>
            </w:r>
            <w:proofErr w:type="gramEnd"/>
            <w:r w:rsidRPr="00167A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2250" w:type="dxa"/>
            <w:vAlign w:val="center"/>
            <w:hideMark/>
          </w:tcPr>
          <w:p w:rsidR="00167AE7" w:rsidRPr="00167AE7" w:rsidRDefault="00167AE7" w:rsidP="00167A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(S/R)</w:t>
            </w:r>
          </w:p>
        </w:tc>
        <w:tc>
          <w:tcPr>
            <w:tcW w:w="1335" w:type="dxa"/>
            <w:gridSpan w:val="2"/>
            <w:vAlign w:val="center"/>
            <w:hideMark/>
          </w:tcPr>
          <w:p w:rsidR="00167AE7" w:rsidRPr="00167AE7" w:rsidRDefault="00167AE7" w:rsidP="00167A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  <w:tr w:rsidR="00167AE7" w:rsidRPr="00167AE7" w:rsidTr="00167AE7">
        <w:trPr>
          <w:tblCellSpacing w:w="0" w:type="dxa"/>
        </w:trPr>
        <w:tc>
          <w:tcPr>
            <w:tcW w:w="1230" w:type="dxa"/>
            <w:gridSpan w:val="2"/>
            <w:vAlign w:val="center"/>
            <w:hideMark/>
          </w:tcPr>
          <w:p w:rsidR="00167AE7" w:rsidRPr="00167AE7" w:rsidRDefault="00167AE7" w:rsidP="00167A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67A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PROCESSO</w:t>
            </w:r>
            <w:proofErr w:type="gramStart"/>
            <w:r w:rsidRPr="00167A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..</w:t>
            </w:r>
            <w:proofErr w:type="gramEnd"/>
          </w:p>
        </w:tc>
        <w:tc>
          <w:tcPr>
            <w:tcW w:w="2475" w:type="dxa"/>
            <w:vAlign w:val="center"/>
            <w:hideMark/>
          </w:tcPr>
          <w:p w:rsidR="00167AE7" w:rsidRPr="00167AE7" w:rsidRDefault="00167AE7" w:rsidP="00167A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200594381320</w:t>
            </w:r>
          </w:p>
        </w:tc>
        <w:tc>
          <w:tcPr>
            <w:tcW w:w="1215" w:type="dxa"/>
            <w:gridSpan w:val="3"/>
            <w:vAlign w:val="center"/>
            <w:hideMark/>
          </w:tcPr>
          <w:p w:rsidR="00167AE7" w:rsidRPr="00167AE7" w:rsidRDefault="00167AE7" w:rsidP="00167A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67A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COMARCA</w:t>
            </w:r>
            <w:proofErr w:type="gramStart"/>
            <w:r w:rsidRPr="00167A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..</w:t>
            </w:r>
            <w:proofErr w:type="gramEnd"/>
          </w:p>
        </w:tc>
        <w:tc>
          <w:tcPr>
            <w:tcW w:w="2250" w:type="dxa"/>
            <w:vAlign w:val="center"/>
            <w:hideMark/>
          </w:tcPr>
          <w:p w:rsidR="00167AE7" w:rsidRPr="00167AE7" w:rsidRDefault="00167AE7" w:rsidP="00167A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PONTALINA </w:t>
            </w:r>
          </w:p>
        </w:tc>
        <w:tc>
          <w:tcPr>
            <w:tcW w:w="1335" w:type="dxa"/>
            <w:gridSpan w:val="2"/>
            <w:vAlign w:val="center"/>
            <w:hideMark/>
          </w:tcPr>
          <w:p w:rsidR="00167AE7" w:rsidRPr="00167AE7" w:rsidRDefault="00167AE7" w:rsidP="00167AE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tbl>
      <w:tblPr>
        <w:tblW w:w="850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367"/>
        <w:gridCol w:w="395"/>
        <w:gridCol w:w="6743"/>
      </w:tblGrid>
      <w:tr w:rsidR="00167AE7" w:rsidRPr="00167AE7" w:rsidTr="00167AE7">
        <w:trPr>
          <w:tblCellSpacing w:w="0" w:type="dxa"/>
        </w:trPr>
        <w:tc>
          <w:tcPr>
            <w:tcW w:w="1155" w:type="dxa"/>
            <w:vAlign w:val="center"/>
            <w:hideMark/>
          </w:tcPr>
          <w:p w:rsidR="00167AE7" w:rsidRPr="00167AE7" w:rsidRDefault="00167AE7" w:rsidP="00167A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67A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RELATOR...</w:t>
            </w:r>
          </w:p>
        </w:tc>
        <w:tc>
          <w:tcPr>
            <w:tcW w:w="7350" w:type="dxa"/>
            <w:gridSpan w:val="2"/>
            <w:vAlign w:val="center"/>
            <w:hideMark/>
          </w:tcPr>
          <w:p w:rsidR="00167AE7" w:rsidRPr="00167AE7" w:rsidRDefault="00167AE7" w:rsidP="00167A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DR(</w:t>
            </w:r>
            <w:proofErr w:type="gramEnd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A). ROBERTO HORACIO DE REZENDE </w:t>
            </w:r>
          </w:p>
        </w:tc>
      </w:tr>
      <w:tr w:rsidR="00167AE7" w:rsidRPr="00167AE7" w:rsidTr="00167AE7">
        <w:trPr>
          <w:tblCellSpacing w:w="0" w:type="dxa"/>
        </w:trPr>
        <w:tc>
          <w:tcPr>
            <w:tcW w:w="1560" w:type="dxa"/>
            <w:gridSpan w:val="2"/>
            <w:vAlign w:val="center"/>
            <w:hideMark/>
          </w:tcPr>
          <w:p w:rsidR="00167AE7" w:rsidRPr="00167AE7" w:rsidRDefault="00167AE7" w:rsidP="00167A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67A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 xml:space="preserve">PROC./REC...: </w:t>
            </w:r>
          </w:p>
        </w:tc>
        <w:tc>
          <w:tcPr>
            <w:tcW w:w="6945" w:type="dxa"/>
            <w:vAlign w:val="center"/>
            <w:hideMark/>
          </w:tcPr>
          <w:p w:rsidR="00167AE7" w:rsidRPr="00167AE7" w:rsidRDefault="00167AE7" w:rsidP="00167A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438132-66.2005.8.09.0129 - APELACAO CIVEL </w:t>
            </w:r>
          </w:p>
        </w:tc>
      </w:tr>
      <w:tr w:rsidR="00167AE7" w:rsidRPr="00167AE7" w:rsidTr="00167AE7">
        <w:trPr>
          <w:tblCellSpacing w:w="0" w:type="dxa"/>
        </w:trPr>
        <w:tc>
          <w:tcPr>
            <w:tcW w:w="1560" w:type="dxa"/>
            <w:gridSpan w:val="2"/>
            <w:hideMark/>
          </w:tcPr>
          <w:p w:rsidR="00167AE7" w:rsidRPr="00167AE7" w:rsidRDefault="00167AE7" w:rsidP="00167A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67A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EMENTA</w:t>
            </w:r>
            <w:proofErr w:type="gramStart"/>
            <w:r w:rsidRPr="00167A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......</w:t>
            </w:r>
            <w:proofErr w:type="gramEnd"/>
            <w:r w:rsidRPr="00167A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6945" w:type="dxa"/>
            <w:vAlign w:val="center"/>
            <w:hideMark/>
          </w:tcPr>
          <w:p w:rsidR="00167AE7" w:rsidRPr="00167AE7" w:rsidRDefault="00167AE7" w:rsidP="00167A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APELAÇÃO CÍVEL. AÇÃO DE COBRANÇA. INDENIZAÇÃO SECURITÁRIA OBRIGATÓRIA (</w:t>
            </w:r>
            <w:r w:rsidRPr="00167AE7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shd w:val="clear" w:color="auto" w:fill="008000"/>
                <w:lang w:eastAsia="pt-BR"/>
              </w:rPr>
              <w:t>DPVAT</w:t>
            </w:r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). AUSÊNCIA DE INTERESSE PROCESSUAL. PRELIMINAR AFASTADA. </w:t>
            </w:r>
            <w:r w:rsidRPr="00167AE7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shd w:val="clear" w:color="auto" w:fill="008000"/>
                <w:lang w:eastAsia="pt-BR"/>
              </w:rPr>
              <w:t>INVALIDEZ</w:t>
            </w:r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PERMANENTE PARCIAL. QUANTUM INDENIZATÓRIO PROPORCIONAL AO VALOR TOTAL DO SEGURO OBRIGATÓRIO APLICÁVEL À ESPÉCIE (40 SALÁRIOS-MÍNIMOS). POSSIBILIDADE. TABELA ELABORADA PELA SUSEP. APLICAÇÃO. ATUALIZAÇÃO MONETÁRIA. TERMO INICIAL. EVENTO DANOSO. HONORÁRIOS ADVOCATÍCIOS. ADEQUAÇÃO DE OFÍCIO. JULGAMENTO DO RECURSO VIA DECISÃO MONOCRÁTICA. POSSIBILIDADE. 1 - A não apresentação do requerimento administrativo da indenização por </w:t>
            </w:r>
            <w:proofErr w:type="spellStart"/>
            <w:r w:rsidRPr="00167AE7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shd w:val="clear" w:color="auto" w:fill="008000"/>
                <w:lang w:eastAsia="pt-BR"/>
              </w:rPr>
              <w:t>invalidez</w:t>
            </w:r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permanente</w:t>
            </w:r>
            <w:proofErr w:type="spellEnd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não prospera como justificativa para a alegada falta de interesse processual, pois com o advento da Constituição Federal de 1988 não há mais necessidade do esgotamento da via administrativa para se buscar a satisfação do direito reclamado. 2 - Conforme proclama a hodierna jurisprudência do STJ, 'em caso de </w:t>
            </w:r>
            <w:proofErr w:type="spellStart"/>
            <w:r w:rsidRPr="00167AE7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shd w:val="clear" w:color="auto" w:fill="008000"/>
                <w:lang w:eastAsia="pt-BR"/>
              </w:rPr>
              <w:t>invalidez</w:t>
            </w:r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parcial</w:t>
            </w:r>
            <w:proofErr w:type="spellEnd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, o pagamento do seguro </w:t>
            </w:r>
            <w:proofErr w:type="spellStart"/>
            <w:proofErr w:type="gramStart"/>
            <w:r w:rsidRPr="00167AE7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shd w:val="clear" w:color="auto" w:fill="008000"/>
                <w:lang w:eastAsia="pt-BR"/>
              </w:rPr>
              <w:t>DPVAT</w:t>
            </w:r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deve</w:t>
            </w:r>
            <w:proofErr w:type="spellEnd"/>
            <w:proofErr w:type="gramEnd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, por igual, observar a respectiva proporcionalidade' (4ª Turma, </w:t>
            </w:r>
            <w:proofErr w:type="spellStart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REsp</w:t>
            </w:r>
            <w:proofErr w:type="spellEnd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nº 1119614/RS, Rel. Min. Aldir Passarinho Júnior. Disponível em: www.stj.jus.br). Interpretação uniformizada quanto aos </w:t>
            </w:r>
            <w:proofErr w:type="spellStart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arts</w:t>
            </w:r>
            <w:proofErr w:type="spellEnd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. 3º e 5º, § 5º, da Lei nº 6.194/1974, com redação dada pela Lei nº 8.441/1992. Precedentes deste Tribunal. 3 - </w:t>
            </w:r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 xml:space="preserve">Não se trata de retroatividade da Lei nº 11.945/2009 (que inseriu modificações na norma que rege o seguro </w:t>
            </w:r>
            <w:r w:rsidRPr="00167AE7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shd w:val="clear" w:color="auto" w:fill="008000"/>
                <w:lang w:eastAsia="pt-BR"/>
              </w:rPr>
              <w:t>DPVAT</w:t>
            </w:r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), porquanto não se está utilizando a tabela anexa nesse diploma legal para fixação do valor, mas sim os parâmetros determinados pelas circulares da SUSEP. 4 - Em casos que tais a indenização deve ser fixada em até 40 (quarenta) salários-mínimos vigentes à época do sinistro, mormente se o acidente ocorreu antes da vigência da Medida Provisória nº 340/</w:t>
            </w:r>
            <w:r w:rsidRPr="00167AE7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shd w:val="clear" w:color="auto" w:fill="008000"/>
                <w:lang w:eastAsia="pt-BR"/>
              </w:rPr>
              <w:t>2006</w:t>
            </w:r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, posteriormente convertida na Lei nº 11.482/2007, como na hipótese vertente, tendo em vista que o acidente ocorreu em 09/09/1992, devendo-se aplicar ao presente caso a redação originária da legislação antiga (art. 3º, da Lei nº 6.194/1974). 5 - A atualização monetária incidirá a partir do evento danoso, tal como fixada na sentença prolatada perante a primeira instância. Precedentes do STJ. 6 - No tocante às verbas </w:t>
            </w:r>
            <w:proofErr w:type="spellStart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sucumbenciais</w:t>
            </w:r>
            <w:proofErr w:type="spellEnd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a seguradora apelante/ré deve arcar integralmente com tal ônus, levando-se em consideração a necessidade de aplicação do princípio da causalidade. Estando o percentual de honorários advocatícios em perfeita consonância com os parâmetros estabelecidos pelo art. 20, § 3º e alíneas, do Código de Processo Civil, não se configura sua </w:t>
            </w:r>
            <w:proofErr w:type="spellStart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excessividade</w:t>
            </w:r>
            <w:proofErr w:type="spellEnd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. </w:t>
            </w:r>
            <w:proofErr w:type="gramStart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</w:t>
            </w:r>
            <w:proofErr w:type="gramEnd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) - APELAÇÃO CÍVEL CONHECIDA E PARCIALMENTE PROVIDA. SENTENÇA SINGULAR REFORMADA EM PARTE. </w:t>
            </w:r>
          </w:p>
        </w:tc>
      </w:tr>
    </w:tbl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67AE7" w:rsidRPr="00167AE7" w:rsidRDefault="00167AE7" w:rsidP="00167AE7">
      <w:pPr>
        <w:spacing w:before="100" w:beforeAutospacing="1" w:after="100" w:afterAutospacing="1" w:line="264" w:lineRule="auto"/>
        <w:ind w:right="-6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AE7">
        <w:rPr>
          <w:rFonts w:ascii="Times New Roman" w:eastAsia="Times New Roman" w:hAnsi="Times New Roman" w:cs="Times New Roman"/>
          <w:sz w:val="24"/>
          <w:szCs w:val="24"/>
          <w:lang w:eastAsia="pt-BR"/>
        </w:rPr>
        <w:t>A celeuma sobre o valor devido quanto ao pagamento do seguro DPVAT surgiu em face da legislação que vedou a utilização do salário mínimo como fator de correção monetária (CF e lei n.º 6.205/75 e 6.423/77), entretanto a legislação que regula o seguro DPVAT Lei n.º 6.194/74 não utiliza o salário mínimo como fator de atualização do poder da moeda, mas como critério para estabelecimento do valor da indenização.</w:t>
      </w:r>
    </w:p>
    <w:p w:rsidR="00167AE7" w:rsidRPr="00167AE7" w:rsidRDefault="00167AE7" w:rsidP="00167AE7">
      <w:pPr>
        <w:spacing w:before="100" w:beforeAutospacing="1" w:after="100" w:afterAutospacing="1" w:line="264" w:lineRule="auto"/>
        <w:ind w:right="-6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AE7">
        <w:rPr>
          <w:rFonts w:ascii="Times New Roman" w:eastAsia="Times New Roman" w:hAnsi="Times New Roman" w:cs="Times New Roman"/>
          <w:sz w:val="27"/>
          <w:szCs w:val="27"/>
          <w:lang w:eastAsia="pt-BR"/>
        </w:rPr>
        <w:t xml:space="preserve">O acidente ocorreu antes da vigência da MP 451 de 15.12.2008, convertida na Lei 11.945/2009, porém a mesma entra </w:t>
      </w:r>
      <w:r w:rsidRPr="00167AE7">
        <w:rPr>
          <w:rFonts w:ascii="Times New Roman" w:eastAsia="Times New Roman" w:hAnsi="Times New Roman" w:cs="Times New Roman"/>
          <w:b/>
          <w:bCs/>
          <w:i/>
          <w:iCs/>
          <w:sz w:val="27"/>
          <w:lang w:eastAsia="pt-BR"/>
        </w:rPr>
        <w:t>em vigor imediatamente</w:t>
      </w:r>
      <w:r w:rsidRPr="00167AE7">
        <w:rPr>
          <w:rFonts w:ascii="Times New Roman" w:eastAsia="Times New Roman" w:hAnsi="Times New Roman" w:cs="Times New Roman"/>
          <w:sz w:val="27"/>
          <w:szCs w:val="27"/>
          <w:lang w:eastAsia="pt-BR"/>
        </w:rPr>
        <w:t xml:space="preserve"> e deve desde logo ser aplicada aos casos relativos </w:t>
      </w:r>
      <w:proofErr w:type="gramStart"/>
      <w:r w:rsidRPr="00167AE7">
        <w:rPr>
          <w:rFonts w:ascii="Times New Roman" w:eastAsia="Times New Roman" w:hAnsi="Times New Roman" w:cs="Times New Roman"/>
          <w:sz w:val="27"/>
          <w:szCs w:val="27"/>
          <w:lang w:eastAsia="pt-BR"/>
        </w:rPr>
        <w:t>a</w:t>
      </w:r>
      <w:proofErr w:type="gramEnd"/>
      <w:r w:rsidRPr="00167AE7">
        <w:rPr>
          <w:rFonts w:ascii="Times New Roman" w:eastAsia="Times New Roman" w:hAnsi="Times New Roman" w:cs="Times New Roman"/>
          <w:sz w:val="27"/>
          <w:szCs w:val="27"/>
          <w:lang w:eastAsia="pt-BR"/>
        </w:rPr>
        <w:t xml:space="preserve"> indenização decorrente do seguro DPVAT, sendo que o valor da indenização deve ser calculado segundo a redação dada ao parágrafo 1º, incisos I e II, do art. 3º da Lei 6.194/74.</w:t>
      </w: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AE7">
        <w:rPr>
          <w:rFonts w:ascii="Times New Roman" w:eastAsia="Times New Roman" w:hAnsi="Times New Roman" w:cs="Times New Roman"/>
          <w:sz w:val="27"/>
          <w:szCs w:val="27"/>
          <w:lang w:eastAsia="pt-BR"/>
        </w:rPr>
        <w:t>No entanto, como não se trata de perda completa da mobilidade, mas sequela residual do ombro esquerdo</w:t>
      </w:r>
      <w:proofErr w:type="gramStart"/>
      <w:r w:rsidRPr="00167AE7">
        <w:rPr>
          <w:rFonts w:ascii="Times New Roman" w:eastAsia="Times New Roman" w:hAnsi="Times New Roman" w:cs="Times New Roman"/>
          <w:sz w:val="27"/>
          <w:szCs w:val="27"/>
          <w:lang w:eastAsia="pt-BR"/>
        </w:rPr>
        <w:t>, aplica-se</w:t>
      </w:r>
      <w:proofErr w:type="gramEnd"/>
      <w:r w:rsidRPr="00167AE7">
        <w:rPr>
          <w:rFonts w:ascii="Times New Roman" w:eastAsia="Times New Roman" w:hAnsi="Times New Roman" w:cs="Times New Roman"/>
          <w:sz w:val="27"/>
          <w:szCs w:val="27"/>
          <w:lang w:eastAsia="pt-BR"/>
        </w:rPr>
        <w:t xml:space="preserve"> a redução prevista no inciso I do parágrafo 1º do art. 3º, da Lei 6.194/74, que, no caso, reduz o valor para 10%.</w:t>
      </w: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AE7">
        <w:rPr>
          <w:rFonts w:ascii="Times New Roman" w:eastAsia="Times New Roman" w:hAnsi="Times New Roman" w:cs="Times New Roman"/>
          <w:sz w:val="27"/>
          <w:szCs w:val="27"/>
          <w:lang w:eastAsia="pt-BR"/>
        </w:rPr>
        <w:lastRenderedPageBreak/>
        <w:t xml:space="preserve">O salário mínimo da época do sinistro era de R$ 350,00 e uma vez multiplicado por </w:t>
      </w:r>
      <w:proofErr w:type="gramStart"/>
      <w:r w:rsidRPr="00167AE7">
        <w:rPr>
          <w:rFonts w:ascii="Times New Roman" w:eastAsia="Times New Roman" w:hAnsi="Times New Roman" w:cs="Times New Roman"/>
          <w:sz w:val="27"/>
          <w:szCs w:val="27"/>
          <w:lang w:eastAsia="pt-BR"/>
        </w:rPr>
        <w:t>40,</w:t>
      </w:r>
      <w:proofErr w:type="gramEnd"/>
      <w:r w:rsidRPr="00167AE7">
        <w:rPr>
          <w:rFonts w:ascii="Times New Roman" w:eastAsia="Times New Roman" w:hAnsi="Times New Roman" w:cs="Times New Roman"/>
          <w:sz w:val="27"/>
          <w:szCs w:val="27"/>
          <w:lang w:eastAsia="pt-BR"/>
        </w:rPr>
        <w:t>chega-se ao valor de R$14.000,00, sendo que o percentual de 70% sobre este valor atinge R$ 9.800,00.</w:t>
      </w: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AE7">
        <w:rPr>
          <w:rFonts w:ascii="Times New Roman" w:eastAsia="Times New Roman" w:hAnsi="Times New Roman" w:cs="Times New Roman"/>
          <w:sz w:val="27"/>
          <w:szCs w:val="27"/>
          <w:lang w:eastAsia="pt-BR"/>
        </w:rPr>
        <w:t>Houve sequela residual do ombro esquerdo, conforme constatou a perícia, devendo-se aplicar a segunda redução prevista no II do art. 3º, da Lei 6.194/74, passando a indenização a ser fixada em 10% do valor máximo indenizável, isto é R$ 9.800,00 vezes 10%, o que chega ao valor de R$ 980,00.</w:t>
      </w: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67AE7" w:rsidRPr="00167AE7" w:rsidRDefault="00167AE7" w:rsidP="00167AE7">
      <w:pPr>
        <w:spacing w:before="100" w:beforeAutospacing="1" w:after="100" w:afterAutospacing="1" w:line="264" w:lineRule="auto"/>
        <w:ind w:right="-6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AE7">
        <w:rPr>
          <w:rFonts w:ascii="Times New Roman" w:eastAsia="Times New Roman" w:hAnsi="Times New Roman" w:cs="Times New Roman"/>
          <w:sz w:val="27"/>
          <w:szCs w:val="27"/>
          <w:lang w:eastAsia="pt-BR"/>
        </w:rPr>
        <w:t xml:space="preserve">Correção monetária deve ser computada a partir da data do sinistro, sendo que em hipótese alguma configura o </w:t>
      </w:r>
      <w:r w:rsidRPr="00167AE7">
        <w:rPr>
          <w:rFonts w:ascii="Times New Roman" w:eastAsia="Times New Roman" w:hAnsi="Times New Roman" w:cs="Times New Roman"/>
          <w:i/>
          <w:iCs/>
          <w:sz w:val="27"/>
          <w:lang w:eastAsia="pt-BR"/>
        </w:rPr>
        <w:t>bis in idem</w:t>
      </w:r>
      <w:r w:rsidRPr="00167AE7">
        <w:rPr>
          <w:rFonts w:ascii="Times New Roman" w:eastAsia="Times New Roman" w:hAnsi="Times New Roman" w:cs="Times New Roman"/>
          <w:sz w:val="27"/>
          <w:szCs w:val="27"/>
          <w:lang w:eastAsia="pt-BR"/>
        </w:rPr>
        <w:t>, pelo fato do valor do salário mínimo ser o da época do evento danoso.</w:t>
      </w:r>
    </w:p>
    <w:p w:rsidR="00167AE7" w:rsidRPr="00167AE7" w:rsidRDefault="00167AE7" w:rsidP="00167AE7">
      <w:pPr>
        <w:spacing w:before="100" w:beforeAutospacing="1" w:after="100" w:afterAutospacing="1" w:line="264" w:lineRule="auto"/>
        <w:ind w:right="-6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AE7">
        <w:rPr>
          <w:rFonts w:ascii="Times New Roman" w:eastAsia="Times New Roman" w:hAnsi="Times New Roman" w:cs="Times New Roman"/>
          <w:sz w:val="24"/>
          <w:szCs w:val="24"/>
          <w:lang w:eastAsia="pt-BR"/>
        </w:rPr>
        <w:t>Ademais, não houve o pagamento da indenização na época devida, logo o valor deverá ser corrigido monetariamente, a fim de que retrate a fiel correção da moeda.</w:t>
      </w: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AE7">
        <w:rPr>
          <w:rFonts w:ascii="Times New Roman" w:eastAsia="Times New Roman" w:hAnsi="Times New Roman" w:cs="Times New Roman"/>
          <w:sz w:val="24"/>
          <w:szCs w:val="24"/>
          <w:lang w:eastAsia="pt-BR"/>
        </w:rPr>
        <w:t>Este é o entendimento majoritário do Tribunal de Justiça do Estado de Goiás.</w:t>
      </w: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tbl>
      <w:tblPr>
        <w:tblW w:w="850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285"/>
        <w:gridCol w:w="126"/>
        <w:gridCol w:w="2405"/>
        <w:gridCol w:w="30"/>
        <w:gridCol w:w="1267"/>
        <w:gridCol w:w="84"/>
        <w:gridCol w:w="2115"/>
        <w:gridCol w:w="92"/>
        <w:gridCol w:w="1101"/>
      </w:tblGrid>
      <w:tr w:rsidR="00167AE7" w:rsidRPr="00167AE7" w:rsidTr="00167AE7">
        <w:trPr>
          <w:tblCellSpacing w:w="0" w:type="dxa"/>
        </w:trPr>
        <w:tc>
          <w:tcPr>
            <w:tcW w:w="1020" w:type="dxa"/>
            <w:vAlign w:val="center"/>
            <w:hideMark/>
          </w:tcPr>
          <w:p w:rsidR="00167AE7" w:rsidRPr="00167AE7" w:rsidRDefault="00167AE7" w:rsidP="00167A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67A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ORIGEM...</w:t>
            </w:r>
          </w:p>
        </w:tc>
        <w:tc>
          <w:tcPr>
            <w:tcW w:w="2730" w:type="dxa"/>
            <w:gridSpan w:val="3"/>
            <w:vAlign w:val="center"/>
            <w:hideMark/>
          </w:tcPr>
          <w:p w:rsidR="00167AE7" w:rsidRPr="00167AE7" w:rsidRDefault="00167AE7" w:rsidP="00167A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1A</w:t>
            </w:r>
            <w:proofErr w:type="gramEnd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CAMARA CIVEL </w:t>
            </w:r>
          </w:p>
        </w:tc>
        <w:tc>
          <w:tcPr>
            <w:tcW w:w="1020" w:type="dxa"/>
            <w:vAlign w:val="center"/>
            <w:hideMark/>
          </w:tcPr>
          <w:p w:rsidR="00167AE7" w:rsidRPr="00167AE7" w:rsidRDefault="00167AE7" w:rsidP="00167A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67A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FONTE</w:t>
            </w:r>
            <w:proofErr w:type="gramStart"/>
            <w:r w:rsidRPr="00167A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......</w:t>
            </w:r>
            <w:proofErr w:type="gramEnd"/>
            <w:r w:rsidRPr="00167A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2475" w:type="dxa"/>
            <w:gridSpan w:val="3"/>
            <w:vAlign w:val="center"/>
            <w:hideMark/>
          </w:tcPr>
          <w:p w:rsidR="00167AE7" w:rsidRPr="00167AE7" w:rsidRDefault="00167AE7" w:rsidP="00167A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DJ 1133 de 28/08/2012</w:t>
            </w:r>
          </w:p>
        </w:tc>
        <w:tc>
          <w:tcPr>
            <w:tcW w:w="1275" w:type="dxa"/>
            <w:vAlign w:val="center"/>
            <w:hideMark/>
          </w:tcPr>
          <w:p w:rsidR="00167AE7" w:rsidRPr="00167AE7" w:rsidRDefault="00167AE7" w:rsidP="00167A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167AE7" w:rsidRPr="00167AE7" w:rsidTr="00167AE7">
        <w:trPr>
          <w:tblCellSpacing w:w="0" w:type="dxa"/>
        </w:trPr>
        <w:tc>
          <w:tcPr>
            <w:tcW w:w="1155" w:type="dxa"/>
            <w:gridSpan w:val="2"/>
            <w:vAlign w:val="center"/>
            <w:hideMark/>
          </w:tcPr>
          <w:p w:rsidR="00167AE7" w:rsidRPr="00167AE7" w:rsidRDefault="00167AE7" w:rsidP="00167A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67A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ACÓRDÃO</w:t>
            </w:r>
            <w:proofErr w:type="gramStart"/>
            <w:r w:rsidRPr="00167A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..</w:t>
            </w:r>
            <w:proofErr w:type="gramEnd"/>
          </w:p>
        </w:tc>
        <w:tc>
          <w:tcPr>
            <w:tcW w:w="2565" w:type="dxa"/>
            <w:vAlign w:val="center"/>
            <w:hideMark/>
          </w:tcPr>
          <w:p w:rsidR="00167AE7" w:rsidRPr="00167AE7" w:rsidRDefault="00167AE7" w:rsidP="00167A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14/08/2012</w:t>
            </w:r>
          </w:p>
        </w:tc>
        <w:tc>
          <w:tcPr>
            <w:tcW w:w="1140" w:type="dxa"/>
            <w:gridSpan w:val="3"/>
            <w:vAlign w:val="center"/>
            <w:hideMark/>
          </w:tcPr>
          <w:p w:rsidR="00167AE7" w:rsidRPr="00167AE7" w:rsidRDefault="00167AE7" w:rsidP="00167A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67A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LIVRO</w:t>
            </w:r>
            <w:proofErr w:type="gramStart"/>
            <w:r w:rsidRPr="00167A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......</w:t>
            </w:r>
            <w:proofErr w:type="gramEnd"/>
            <w:r w:rsidRPr="00167A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2280" w:type="dxa"/>
            <w:vAlign w:val="center"/>
            <w:hideMark/>
          </w:tcPr>
          <w:p w:rsidR="00167AE7" w:rsidRPr="00167AE7" w:rsidRDefault="00167AE7" w:rsidP="00167A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(S/R)</w:t>
            </w:r>
          </w:p>
        </w:tc>
        <w:tc>
          <w:tcPr>
            <w:tcW w:w="1365" w:type="dxa"/>
            <w:gridSpan w:val="2"/>
            <w:vAlign w:val="center"/>
            <w:hideMark/>
          </w:tcPr>
          <w:p w:rsidR="00167AE7" w:rsidRPr="00167AE7" w:rsidRDefault="00167AE7" w:rsidP="00167A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  <w:tr w:rsidR="00167AE7" w:rsidRPr="00167AE7" w:rsidTr="00167AE7">
        <w:trPr>
          <w:tblCellSpacing w:w="0" w:type="dxa"/>
        </w:trPr>
        <w:tc>
          <w:tcPr>
            <w:tcW w:w="1155" w:type="dxa"/>
            <w:gridSpan w:val="2"/>
            <w:vAlign w:val="center"/>
            <w:hideMark/>
          </w:tcPr>
          <w:p w:rsidR="00167AE7" w:rsidRPr="00167AE7" w:rsidRDefault="00167AE7" w:rsidP="00167A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67A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PROCESSO.</w:t>
            </w:r>
          </w:p>
        </w:tc>
        <w:tc>
          <w:tcPr>
            <w:tcW w:w="2565" w:type="dxa"/>
            <w:vAlign w:val="center"/>
            <w:hideMark/>
          </w:tcPr>
          <w:p w:rsidR="00167AE7" w:rsidRPr="00167AE7" w:rsidRDefault="00167AE7" w:rsidP="00167A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200892622008</w:t>
            </w:r>
          </w:p>
        </w:tc>
        <w:tc>
          <w:tcPr>
            <w:tcW w:w="1140" w:type="dxa"/>
            <w:gridSpan w:val="3"/>
            <w:vAlign w:val="center"/>
            <w:hideMark/>
          </w:tcPr>
          <w:p w:rsidR="00167AE7" w:rsidRPr="00167AE7" w:rsidRDefault="00167AE7" w:rsidP="00167A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67A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COMARCA.</w:t>
            </w:r>
          </w:p>
        </w:tc>
        <w:tc>
          <w:tcPr>
            <w:tcW w:w="2280" w:type="dxa"/>
            <w:vAlign w:val="center"/>
            <w:hideMark/>
          </w:tcPr>
          <w:p w:rsidR="00167AE7" w:rsidRPr="00167AE7" w:rsidRDefault="00167AE7" w:rsidP="00167A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INHUMAS </w:t>
            </w:r>
          </w:p>
        </w:tc>
        <w:tc>
          <w:tcPr>
            <w:tcW w:w="1365" w:type="dxa"/>
            <w:gridSpan w:val="2"/>
            <w:vAlign w:val="center"/>
            <w:hideMark/>
          </w:tcPr>
          <w:p w:rsidR="00167AE7" w:rsidRPr="00167AE7" w:rsidRDefault="00167AE7" w:rsidP="00167AE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bookmarkStart w:id="0" w:name="Semformatacao"/>
      <w:bookmarkEnd w:id="0"/>
    </w:p>
    <w:tbl>
      <w:tblPr>
        <w:tblW w:w="850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187"/>
        <w:gridCol w:w="580"/>
        <w:gridCol w:w="6738"/>
      </w:tblGrid>
      <w:tr w:rsidR="00167AE7" w:rsidRPr="00167AE7" w:rsidTr="00167AE7">
        <w:trPr>
          <w:tblCellSpacing w:w="0" w:type="dxa"/>
        </w:trPr>
        <w:tc>
          <w:tcPr>
            <w:tcW w:w="1080" w:type="dxa"/>
            <w:vAlign w:val="center"/>
            <w:hideMark/>
          </w:tcPr>
          <w:p w:rsidR="00167AE7" w:rsidRPr="00167AE7" w:rsidRDefault="00167AE7" w:rsidP="00167A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67A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RELATOR</w:t>
            </w:r>
          </w:p>
        </w:tc>
        <w:tc>
          <w:tcPr>
            <w:tcW w:w="7425" w:type="dxa"/>
            <w:gridSpan w:val="2"/>
            <w:vAlign w:val="center"/>
            <w:hideMark/>
          </w:tcPr>
          <w:p w:rsidR="00167AE7" w:rsidRPr="00167AE7" w:rsidRDefault="00167AE7" w:rsidP="00167A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DES. MARIA DAS GRACAS CARNEIRO REQUI </w:t>
            </w:r>
          </w:p>
        </w:tc>
      </w:tr>
      <w:tr w:rsidR="00167AE7" w:rsidRPr="00167AE7" w:rsidTr="00167AE7">
        <w:trPr>
          <w:tblCellSpacing w:w="0" w:type="dxa"/>
        </w:trPr>
        <w:tc>
          <w:tcPr>
            <w:tcW w:w="1665" w:type="dxa"/>
            <w:gridSpan w:val="2"/>
            <w:vAlign w:val="center"/>
            <w:hideMark/>
          </w:tcPr>
          <w:p w:rsidR="00167AE7" w:rsidRPr="00167AE7" w:rsidRDefault="00167AE7" w:rsidP="00167A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67A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 xml:space="preserve">PROC./REC...: </w:t>
            </w:r>
          </w:p>
        </w:tc>
        <w:tc>
          <w:tcPr>
            <w:tcW w:w="6840" w:type="dxa"/>
            <w:vAlign w:val="center"/>
            <w:hideMark/>
          </w:tcPr>
          <w:p w:rsidR="00167AE7" w:rsidRPr="00167AE7" w:rsidRDefault="00167AE7" w:rsidP="00167A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262200-36.2008.8.09.0072 - APELACAO CIVEL </w:t>
            </w:r>
          </w:p>
        </w:tc>
      </w:tr>
      <w:tr w:rsidR="00167AE7" w:rsidRPr="00167AE7" w:rsidTr="00167AE7">
        <w:trPr>
          <w:tblCellSpacing w:w="0" w:type="dxa"/>
        </w:trPr>
        <w:tc>
          <w:tcPr>
            <w:tcW w:w="1665" w:type="dxa"/>
            <w:gridSpan w:val="2"/>
            <w:hideMark/>
          </w:tcPr>
          <w:p w:rsidR="00167AE7" w:rsidRPr="00167AE7" w:rsidRDefault="00167AE7" w:rsidP="00167A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67A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EMENTA</w:t>
            </w:r>
            <w:proofErr w:type="gramStart"/>
            <w:r w:rsidRPr="00167A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......</w:t>
            </w:r>
            <w:proofErr w:type="gramEnd"/>
            <w:r w:rsidRPr="00167A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6840" w:type="dxa"/>
            <w:vAlign w:val="center"/>
            <w:hideMark/>
          </w:tcPr>
          <w:p w:rsidR="00167AE7" w:rsidRPr="00167AE7" w:rsidRDefault="00167AE7" w:rsidP="00167A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AGRAVO REGIMENTAL EM </w:t>
            </w:r>
            <w:proofErr w:type="spellStart"/>
            <w:proofErr w:type="gramStart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APELAçãO</w:t>
            </w:r>
            <w:proofErr w:type="spellEnd"/>
            <w:proofErr w:type="gramEnd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CíVEL</w:t>
            </w:r>
            <w:proofErr w:type="spellEnd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. </w:t>
            </w:r>
            <w:proofErr w:type="spellStart"/>
            <w:proofErr w:type="gramStart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AçãO</w:t>
            </w:r>
            <w:proofErr w:type="spellEnd"/>
            <w:proofErr w:type="gramEnd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DE COBRANCA. SEGURO </w:t>
            </w:r>
            <w:proofErr w:type="spellStart"/>
            <w:proofErr w:type="gramStart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OBRIGATóRIO</w:t>
            </w:r>
            <w:proofErr w:type="spellEnd"/>
            <w:proofErr w:type="gramEnd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(</w:t>
            </w:r>
            <w:r w:rsidRPr="00167AE7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shd w:val="clear" w:color="auto" w:fill="008000"/>
                <w:lang w:eastAsia="pt-BR"/>
              </w:rPr>
              <w:t>DPVAT</w:t>
            </w:r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). INVALIDEZ PERMANENTE. VALOR DA </w:t>
            </w:r>
            <w:proofErr w:type="spellStart"/>
            <w:proofErr w:type="gramStart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INDENIZAçãO</w:t>
            </w:r>
            <w:proofErr w:type="spellEnd"/>
            <w:proofErr w:type="gramEnd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. ACIDENTE OCORRIDO EM 19.12.2005. APLICABILIDADE E VIGÊNCIA DA LEI Nº 6.194/74. INAPLICABILIDADE DA MEDIDA PROVISORIA Nº 451/2008, DE 15 DE DEZEMBRO DE 2008. </w:t>
            </w:r>
            <w:proofErr w:type="spellStart"/>
            <w:proofErr w:type="gramStart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PRINCíPIO</w:t>
            </w:r>
            <w:proofErr w:type="spellEnd"/>
            <w:proofErr w:type="gramEnd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TEMPUS REGIT ACTUS. </w:t>
            </w:r>
            <w:proofErr w:type="spellStart"/>
            <w:proofErr w:type="gramStart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CORREçãO</w:t>
            </w:r>
            <w:proofErr w:type="spellEnd"/>
            <w:proofErr w:type="gramEnd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MONETáRIA</w:t>
            </w:r>
            <w:proofErr w:type="spellEnd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. </w:t>
            </w:r>
            <w:proofErr w:type="spellStart"/>
            <w:proofErr w:type="gramStart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INCIDêNCIA</w:t>
            </w:r>
            <w:proofErr w:type="spellEnd"/>
            <w:proofErr w:type="gramEnd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. EVENTO DANOSO. </w:t>
            </w:r>
            <w:proofErr w:type="spellStart"/>
            <w:proofErr w:type="gramStart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INEXISTêNCIA</w:t>
            </w:r>
            <w:proofErr w:type="spellEnd"/>
            <w:proofErr w:type="gramEnd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DE FATO NOVO. PREQUESTIONAMENTO. I- O VALOR DA </w:t>
            </w:r>
            <w:proofErr w:type="spellStart"/>
            <w:proofErr w:type="gramStart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FIXAçãO</w:t>
            </w:r>
            <w:proofErr w:type="spellEnd"/>
            <w:proofErr w:type="gramEnd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DO SEGURO </w:t>
            </w:r>
            <w:proofErr w:type="spellStart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OBRIGATóRIO</w:t>
            </w:r>
            <w:proofErr w:type="spellEnd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ESTá</w:t>
            </w:r>
            <w:proofErr w:type="spellEnd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EXPRESSAMENTE PREVISTO NA LEI Nº 6.194/74, EQUIVALENTES A 40 (QUARENTA) </w:t>
            </w:r>
            <w:proofErr w:type="spellStart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SALáRIOS-MíNIMOS</w:t>
            </w:r>
            <w:proofErr w:type="spellEnd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, EM VIRTUDE DO ACIDENTE TER OCORRIDO EM 19.12.2005, SOB A </w:t>
            </w:r>
            <w:proofErr w:type="spellStart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VIGêNCIA</w:t>
            </w:r>
            <w:proofErr w:type="spellEnd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DE ALUDIDA LEI. II- A </w:t>
            </w:r>
            <w:proofErr w:type="spellStart"/>
            <w:proofErr w:type="gramStart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CORREçãO</w:t>
            </w:r>
            <w:proofErr w:type="spellEnd"/>
            <w:proofErr w:type="gramEnd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MONETáRIA</w:t>
            </w:r>
            <w:proofErr w:type="spellEnd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DEVE INCIDIR A PARTIR DO EFETIVO </w:t>
            </w:r>
            <w:proofErr w:type="spellStart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PREJUíZO</w:t>
            </w:r>
            <w:proofErr w:type="spellEnd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, OU SEJA, DO EVENTO DANOSO. III- O JULGADOR, AO PRESTAR A </w:t>
            </w:r>
            <w:proofErr w:type="spellStart"/>
            <w:proofErr w:type="gramStart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JURISDIçãO</w:t>
            </w:r>
            <w:proofErr w:type="spellEnd"/>
            <w:proofErr w:type="gramEnd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, DEVE RESOLVER AS </w:t>
            </w:r>
            <w:proofErr w:type="spellStart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QUESTõES</w:t>
            </w:r>
            <w:proofErr w:type="spellEnd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DEBATIDAS, MAS </w:t>
            </w:r>
            <w:proofErr w:type="spellStart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NãO</w:t>
            </w:r>
            <w:proofErr w:type="spellEnd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ESTá</w:t>
            </w:r>
            <w:proofErr w:type="spellEnd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OBRIGADO A APRECIAR CADA UMA DAS </w:t>
            </w:r>
            <w:proofErr w:type="spellStart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ALEGAçõES</w:t>
            </w:r>
            <w:proofErr w:type="spellEnd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TRAZIDAS PELAS PARTES, TAMPOUCO FAZER </w:t>
            </w:r>
            <w:proofErr w:type="spellStart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REFERêNCIA</w:t>
            </w:r>
            <w:proofErr w:type="spellEnd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A CADA ARTIGO DE LEI CITADO PELO RECORRENTE. IV- SE A PARTE AGRAVANTE </w:t>
            </w:r>
            <w:proofErr w:type="spellStart"/>
            <w:proofErr w:type="gramStart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NãO</w:t>
            </w:r>
            <w:proofErr w:type="spellEnd"/>
            <w:proofErr w:type="gramEnd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TRAZ ARGUMENTO SUFICIENTE PARA ACARRETAR A </w:t>
            </w:r>
            <w:proofErr w:type="spellStart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MODIFICAçãO</w:t>
            </w:r>
            <w:proofErr w:type="spellEnd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DA LINHA DE </w:t>
            </w:r>
            <w:proofErr w:type="spellStart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RACIOCíNIO</w:t>
            </w:r>
            <w:proofErr w:type="spellEnd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ADOTADA NA </w:t>
            </w:r>
            <w:proofErr w:type="spellStart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DECISãO</w:t>
            </w:r>
            <w:proofErr w:type="spellEnd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MONOCRáTICA</w:t>
            </w:r>
            <w:proofErr w:type="spellEnd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, IMPõE-SE O DESPROVIMENTO DO AGRAVO REGIMENTAL, PORQUANTO INTERPOSTO SEM ELEMENTOS NOVOS CAPAZES DE DESCONSTITUIR O 'DECISUM' RECORRIDO. RECURSO CONHECIDO, MAS IMPROVIDO. </w:t>
            </w:r>
            <w:proofErr w:type="spellStart"/>
            <w:proofErr w:type="gramStart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DECISãO</w:t>
            </w:r>
            <w:proofErr w:type="spellEnd"/>
            <w:proofErr w:type="gramEnd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MONOCRáTICA</w:t>
            </w:r>
            <w:proofErr w:type="spellEnd"/>
            <w:r w:rsidRPr="00167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MANTIDA. </w:t>
            </w:r>
          </w:p>
        </w:tc>
      </w:tr>
    </w:tbl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167AE7">
        <w:rPr>
          <w:rFonts w:ascii="Times New Roman" w:eastAsia="Times New Roman" w:hAnsi="Times New Roman" w:cs="Times New Roman"/>
          <w:b/>
          <w:bCs/>
          <w:sz w:val="27"/>
          <w:lang w:eastAsia="pt-BR"/>
        </w:rPr>
        <w:t>Isto posto</w:t>
      </w:r>
      <w:proofErr w:type="gramEnd"/>
      <w:r w:rsidRPr="00167AE7">
        <w:rPr>
          <w:rFonts w:ascii="Times New Roman" w:eastAsia="Times New Roman" w:hAnsi="Times New Roman" w:cs="Times New Roman"/>
          <w:sz w:val="27"/>
          <w:szCs w:val="27"/>
          <w:lang w:eastAsia="pt-BR"/>
        </w:rPr>
        <w:t>, julgo procedente o pedido e determino que a parte ré pague ao Autor o valor de R$ 980,00 (oitocentos e setenta e cinco reais) corrigido monetariamente pelo INPC desde a data do evento danoso, a título de indenização.</w:t>
      </w: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AE7">
        <w:rPr>
          <w:rFonts w:ascii="Times New Roman" w:eastAsia="Times New Roman" w:hAnsi="Times New Roman" w:cs="Times New Roman"/>
          <w:sz w:val="27"/>
          <w:szCs w:val="27"/>
          <w:lang w:eastAsia="pt-BR"/>
        </w:rPr>
        <w:t>Os juros de mora deverão ser a partir da citação e nos termos do art. 406 do Código Civil.</w:t>
      </w:r>
      <w:r w:rsidRPr="00167AE7">
        <w:rPr>
          <w:rFonts w:ascii="Verdana" w:eastAsia="Times New Roman" w:hAnsi="Verdana" w:cs="Times New Roman"/>
          <w:sz w:val="24"/>
          <w:szCs w:val="24"/>
          <w:lang w:eastAsia="pt-BR"/>
        </w:rPr>
        <w:t xml:space="preserve"> </w:t>
      </w: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AE7">
        <w:rPr>
          <w:rFonts w:ascii="Times New Roman" w:eastAsia="Times New Roman" w:hAnsi="Times New Roman" w:cs="Times New Roman"/>
          <w:sz w:val="27"/>
          <w:szCs w:val="27"/>
          <w:lang w:eastAsia="pt-BR"/>
        </w:rPr>
        <w:t xml:space="preserve">Condeno a parte ré a pagar </w:t>
      </w:r>
      <w:proofErr w:type="gramStart"/>
      <w:r w:rsidRPr="00167AE7">
        <w:rPr>
          <w:rFonts w:ascii="Times New Roman" w:eastAsia="Times New Roman" w:hAnsi="Times New Roman" w:cs="Times New Roman"/>
          <w:sz w:val="27"/>
          <w:szCs w:val="27"/>
          <w:lang w:eastAsia="pt-BR"/>
        </w:rPr>
        <w:t>todas as despesas processuais e honorários advocatícios que fixo</w:t>
      </w:r>
      <w:proofErr w:type="gramEnd"/>
      <w:r w:rsidRPr="00167AE7">
        <w:rPr>
          <w:rFonts w:ascii="Times New Roman" w:eastAsia="Times New Roman" w:hAnsi="Times New Roman" w:cs="Times New Roman"/>
          <w:sz w:val="27"/>
          <w:szCs w:val="27"/>
          <w:lang w:eastAsia="pt-BR"/>
        </w:rPr>
        <w:t xml:space="preserve"> em R$ 500,00 (quinhentos reais), a fim de evitar valores irrisórios e diante do pequeno valor da condenação. </w:t>
      </w: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spellStart"/>
      <w:r w:rsidRPr="00167AE7">
        <w:rPr>
          <w:rFonts w:ascii="Times New Roman" w:eastAsia="Times New Roman" w:hAnsi="Times New Roman" w:cs="Times New Roman"/>
          <w:sz w:val="27"/>
          <w:szCs w:val="27"/>
          <w:lang w:eastAsia="pt-BR"/>
        </w:rPr>
        <w:t>P.R.I.</w:t>
      </w:r>
      <w:proofErr w:type="spellEnd"/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AE7">
        <w:rPr>
          <w:rFonts w:ascii="Times New Roman" w:eastAsia="Times New Roman" w:hAnsi="Times New Roman" w:cs="Times New Roman"/>
          <w:sz w:val="27"/>
          <w:szCs w:val="27"/>
          <w:lang w:eastAsia="pt-BR"/>
        </w:rPr>
        <w:t>Goiânia, 10 de Dezembro de 2012.</w:t>
      </w: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AE7">
        <w:rPr>
          <w:rFonts w:ascii="Times New Roman" w:eastAsia="Times New Roman" w:hAnsi="Times New Roman" w:cs="Times New Roman"/>
          <w:sz w:val="27"/>
          <w:szCs w:val="27"/>
          <w:lang w:eastAsia="pt-BR"/>
        </w:rPr>
        <w:t>ROZANA FERNANDES CAMAPUM</w:t>
      </w:r>
    </w:p>
    <w:p w:rsidR="00167AE7" w:rsidRPr="00167AE7" w:rsidRDefault="00167AE7" w:rsidP="00167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7AE7">
        <w:rPr>
          <w:rFonts w:ascii="Times New Roman" w:eastAsia="Times New Roman" w:hAnsi="Times New Roman" w:cs="Times New Roman"/>
          <w:sz w:val="27"/>
          <w:szCs w:val="27"/>
          <w:lang w:eastAsia="pt-BR"/>
        </w:rPr>
        <w:t>Juíza de Direito</w:t>
      </w:r>
    </w:p>
    <w:p w:rsidR="00E34670" w:rsidRDefault="00E34670"/>
    <w:sectPr w:rsidR="00E34670" w:rsidSect="00E3467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7AE7" w:rsidRDefault="00167AE7" w:rsidP="006A6185">
      <w:pPr>
        <w:spacing w:after="0" w:line="240" w:lineRule="auto"/>
      </w:pPr>
      <w:r>
        <w:separator/>
      </w:r>
    </w:p>
  </w:endnote>
  <w:endnote w:type="continuationSeparator" w:id="0">
    <w:p w:rsidR="00167AE7" w:rsidRDefault="00167AE7" w:rsidP="006A6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185" w:rsidRDefault="006A6185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185" w:rsidRDefault="006A6185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185" w:rsidRDefault="006A6185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7AE7" w:rsidRDefault="00167AE7" w:rsidP="006A6185">
      <w:pPr>
        <w:spacing w:after="0" w:line="240" w:lineRule="auto"/>
      </w:pPr>
      <w:r>
        <w:separator/>
      </w:r>
    </w:p>
  </w:footnote>
  <w:footnote w:type="continuationSeparator" w:id="0">
    <w:p w:rsidR="00167AE7" w:rsidRDefault="00167AE7" w:rsidP="006A61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185" w:rsidRDefault="006A6185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185" w:rsidRDefault="006A6185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185" w:rsidRDefault="006A6185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 w:val="00005A0B"/>
    <w:rsid w:val="0003666A"/>
    <w:rsid w:val="000455C0"/>
    <w:rsid w:val="00055DEF"/>
    <w:rsid w:val="000575BE"/>
    <w:rsid w:val="000578CE"/>
    <w:rsid w:val="00074097"/>
    <w:rsid w:val="000765BC"/>
    <w:rsid w:val="000A7110"/>
    <w:rsid w:val="000B3BFB"/>
    <w:rsid w:val="001053AA"/>
    <w:rsid w:val="00113479"/>
    <w:rsid w:val="001149A1"/>
    <w:rsid w:val="00146DB8"/>
    <w:rsid w:val="00167AE7"/>
    <w:rsid w:val="00167DCF"/>
    <w:rsid w:val="0018430A"/>
    <w:rsid w:val="00186FA1"/>
    <w:rsid w:val="0019459B"/>
    <w:rsid w:val="001A5F80"/>
    <w:rsid w:val="001A7124"/>
    <w:rsid w:val="001C68C5"/>
    <w:rsid w:val="001E5447"/>
    <w:rsid w:val="001F5E44"/>
    <w:rsid w:val="001F62B6"/>
    <w:rsid w:val="0022547E"/>
    <w:rsid w:val="00263DB2"/>
    <w:rsid w:val="00281054"/>
    <w:rsid w:val="002F199C"/>
    <w:rsid w:val="002F40AA"/>
    <w:rsid w:val="003077BB"/>
    <w:rsid w:val="00317499"/>
    <w:rsid w:val="00325DF7"/>
    <w:rsid w:val="003833FE"/>
    <w:rsid w:val="003D4F69"/>
    <w:rsid w:val="00400598"/>
    <w:rsid w:val="004039D6"/>
    <w:rsid w:val="00414CB1"/>
    <w:rsid w:val="00427513"/>
    <w:rsid w:val="0043173E"/>
    <w:rsid w:val="004332C9"/>
    <w:rsid w:val="00437B23"/>
    <w:rsid w:val="00495033"/>
    <w:rsid w:val="004F0D29"/>
    <w:rsid w:val="00503FDD"/>
    <w:rsid w:val="0050608F"/>
    <w:rsid w:val="00541B23"/>
    <w:rsid w:val="00545814"/>
    <w:rsid w:val="0054791D"/>
    <w:rsid w:val="00555BAB"/>
    <w:rsid w:val="005727F8"/>
    <w:rsid w:val="00620915"/>
    <w:rsid w:val="006640B2"/>
    <w:rsid w:val="006A6185"/>
    <w:rsid w:val="006B39AA"/>
    <w:rsid w:val="006D5124"/>
    <w:rsid w:val="0072213F"/>
    <w:rsid w:val="007312AF"/>
    <w:rsid w:val="00733C9B"/>
    <w:rsid w:val="007425AC"/>
    <w:rsid w:val="00794BE2"/>
    <w:rsid w:val="007A1266"/>
    <w:rsid w:val="007B165B"/>
    <w:rsid w:val="007C293D"/>
    <w:rsid w:val="007E0B6E"/>
    <w:rsid w:val="0080007C"/>
    <w:rsid w:val="008366E0"/>
    <w:rsid w:val="00857A74"/>
    <w:rsid w:val="008A07D3"/>
    <w:rsid w:val="008B2D09"/>
    <w:rsid w:val="008B4FFA"/>
    <w:rsid w:val="008F24D5"/>
    <w:rsid w:val="0095643E"/>
    <w:rsid w:val="00997154"/>
    <w:rsid w:val="009B2C72"/>
    <w:rsid w:val="009D4B01"/>
    <w:rsid w:val="00A220F7"/>
    <w:rsid w:val="00A52464"/>
    <w:rsid w:val="00A61D38"/>
    <w:rsid w:val="00A66993"/>
    <w:rsid w:val="00A77436"/>
    <w:rsid w:val="00A85484"/>
    <w:rsid w:val="00A9531C"/>
    <w:rsid w:val="00AC0027"/>
    <w:rsid w:val="00AC48B4"/>
    <w:rsid w:val="00B048E6"/>
    <w:rsid w:val="00B5218D"/>
    <w:rsid w:val="00B93533"/>
    <w:rsid w:val="00BA2906"/>
    <w:rsid w:val="00BC4AEB"/>
    <w:rsid w:val="00BD1C70"/>
    <w:rsid w:val="00BE02A9"/>
    <w:rsid w:val="00C15243"/>
    <w:rsid w:val="00C66AB1"/>
    <w:rsid w:val="00CF0D6A"/>
    <w:rsid w:val="00D23BBA"/>
    <w:rsid w:val="00D56CA2"/>
    <w:rsid w:val="00D666C5"/>
    <w:rsid w:val="00D86EC3"/>
    <w:rsid w:val="00E34670"/>
    <w:rsid w:val="00E41C2B"/>
    <w:rsid w:val="00E5773D"/>
    <w:rsid w:val="00E71A87"/>
    <w:rsid w:val="00EF0141"/>
    <w:rsid w:val="00F0478C"/>
    <w:rsid w:val="00F10C93"/>
    <w:rsid w:val="00F14535"/>
    <w:rsid w:val="00F2605C"/>
    <w:rsid w:val="00F73D34"/>
    <w:rsid w:val="00F83219"/>
    <w:rsid w:val="00F87299"/>
    <w:rsid w:val="00F94B92"/>
    <w:rsid w:val="00FC65F2"/>
    <w:rsid w:val="00FD5A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467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6A61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6A6185"/>
  </w:style>
  <w:style w:type="paragraph" w:styleId="Rodap">
    <w:name w:val="footer"/>
    <w:basedOn w:val="Normal"/>
    <w:link w:val="RodapChar"/>
    <w:uiPriority w:val="99"/>
    <w:semiHidden/>
    <w:unhideWhenUsed/>
    <w:rsid w:val="006A61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6A6185"/>
  </w:style>
  <w:style w:type="paragraph" w:customStyle="1" w:styleId="western">
    <w:name w:val="western"/>
    <w:basedOn w:val="Normal"/>
    <w:rsid w:val="00167A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167AE7"/>
    <w:rPr>
      <w:i/>
      <w:iCs/>
    </w:rPr>
  </w:style>
  <w:style w:type="character" w:styleId="Forte">
    <w:name w:val="Strong"/>
    <w:basedOn w:val="Fontepargpadro"/>
    <w:uiPriority w:val="22"/>
    <w:qFormat/>
    <w:rsid w:val="00167AE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67A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850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35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1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6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1920</Words>
  <Characters>10369</Characters>
  <Application>Microsoft Office Word</Application>
  <DocSecurity>0</DocSecurity>
  <Lines>86</Lines>
  <Paragraphs>24</Paragraphs>
  <ScaleCrop>false</ScaleCrop>
  <Company>JOAO BARBOSA ADVOGADOS ASSOCIADOS</Company>
  <LinksUpToDate>false</LinksUpToDate>
  <CharactersWithSpaces>12265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marco.silva</dc:creator>
  <cp:keywords/>
  <dc:description/>
  <cp:lastModifiedBy>marco.silva</cp:lastModifiedBy>
  <cp:revision>1</cp:revision>
  <dcterms:created xsi:type="dcterms:W3CDTF">2012-12-20T13:36:00Z</dcterms:created>
  <dcterms:modified xsi:type="dcterms:W3CDTF">2012-12-20T13:37:00Z</dcterms:modified>
</cp:coreProperties>
</file>